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5330" w:rsidRDefault="00FF1E3B" w:rsidP="00C068AC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Sicili</w:t>
      </w:r>
      <w:r w:rsidR="008E046F">
        <w:rPr>
          <w:b/>
          <w:sz w:val="72"/>
          <w:szCs w:val="72"/>
          <w:lang w:val="es-ES"/>
        </w:rPr>
        <w:t>a Legendaria</w:t>
      </w:r>
    </w:p>
    <w:p w:rsidR="00481510" w:rsidRPr="00883B24" w:rsidRDefault="0030708E" w:rsidP="00C068AC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2024</w:t>
      </w:r>
    </w:p>
    <w:p w:rsidR="00481510" w:rsidRDefault="00FF1E3B" w:rsidP="00481510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7</w:t>
      </w:r>
      <w:r w:rsidR="00481510">
        <w:rPr>
          <w:b/>
          <w:sz w:val="32"/>
          <w:szCs w:val="32"/>
          <w:lang w:val="es-ES"/>
        </w:rPr>
        <w:t xml:space="preserve"> </w:t>
      </w:r>
      <w:r w:rsidR="00481510"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>6</w:t>
      </w:r>
      <w:r w:rsidR="00481510">
        <w:rPr>
          <w:b/>
          <w:sz w:val="32"/>
          <w:szCs w:val="32"/>
          <w:lang w:val="es-ES"/>
        </w:rPr>
        <w:t xml:space="preserve"> </w:t>
      </w:r>
      <w:r w:rsidR="00481510" w:rsidRPr="00883B24">
        <w:rPr>
          <w:b/>
          <w:sz w:val="32"/>
          <w:szCs w:val="32"/>
          <w:lang w:val="es-ES"/>
        </w:rPr>
        <w:t>noches</w:t>
      </w:r>
    </w:p>
    <w:p w:rsidR="00481510" w:rsidRDefault="00481510" w:rsidP="00481510">
      <w:pPr>
        <w:jc w:val="both"/>
        <w:rPr>
          <w:sz w:val="20"/>
          <w:szCs w:val="20"/>
        </w:rPr>
      </w:pPr>
      <w:r>
        <w:rPr>
          <w:sz w:val="20"/>
          <w:szCs w:val="20"/>
        </w:rPr>
        <w:t>Llegadas: Específicas</w:t>
      </w:r>
    </w:p>
    <w:p w:rsidR="005C6A41" w:rsidRDefault="005C6A41" w:rsidP="00481510">
      <w:pPr>
        <w:jc w:val="both"/>
        <w:rPr>
          <w:b/>
          <w:bCs/>
          <w:sz w:val="20"/>
          <w:szCs w:val="20"/>
        </w:rPr>
      </w:pPr>
    </w:p>
    <w:p w:rsidR="009135C2" w:rsidRPr="009135C2" w:rsidRDefault="009135C2" w:rsidP="009135C2">
      <w:pPr>
        <w:jc w:val="both"/>
        <w:rPr>
          <w:b/>
          <w:bCs/>
          <w:sz w:val="20"/>
          <w:szCs w:val="20"/>
        </w:rPr>
      </w:pPr>
      <w:r w:rsidRPr="009135C2">
        <w:rPr>
          <w:b/>
          <w:bCs/>
          <w:sz w:val="20"/>
          <w:szCs w:val="20"/>
        </w:rPr>
        <w:t>Día 1. Palermo</w:t>
      </w:r>
    </w:p>
    <w:p w:rsidR="009135C2" w:rsidRDefault="009135C2" w:rsidP="009135C2">
      <w:pPr>
        <w:jc w:val="both"/>
        <w:rPr>
          <w:b/>
          <w:bCs/>
          <w:sz w:val="20"/>
          <w:szCs w:val="20"/>
        </w:rPr>
      </w:pPr>
      <w:r w:rsidRPr="009135C2">
        <w:rPr>
          <w:sz w:val="20"/>
          <w:szCs w:val="20"/>
        </w:rPr>
        <w:t>Cita con los participantes en el hotel</w:t>
      </w:r>
      <w:r w:rsidR="008B0B9D">
        <w:rPr>
          <w:sz w:val="20"/>
          <w:szCs w:val="20"/>
        </w:rPr>
        <w:t xml:space="preserve"> </w:t>
      </w:r>
      <w:r w:rsidR="008B0B9D" w:rsidRPr="008B0B9D">
        <w:rPr>
          <w:b/>
          <w:bCs/>
          <w:i/>
          <w:iCs/>
          <w:color w:val="4472C4" w:themeColor="accent1"/>
          <w:sz w:val="20"/>
          <w:szCs w:val="20"/>
        </w:rPr>
        <w:t>(no incluye traslado de llegada).</w:t>
      </w:r>
      <w:r w:rsidRPr="008B0B9D">
        <w:rPr>
          <w:color w:val="4472C4" w:themeColor="accent1"/>
          <w:sz w:val="20"/>
          <w:szCs w:val="20"/>
        </w:rPr>
        <w:t xml:space="preserve"> </w:t>
      </w:r>
      <w:r w:rsidRPr="009135C2">
        <w:rPr>
          <w:b/>
          <w:bCs/>
          <w:sz w:val="20"/>
          <w:szCs w:val="20"/>
        </w:rPr>
        <w:t>Cena y alojamiento.</w:t>
      </w:r>
    </w:p>
    <w:p w:rsidR="009135C2" w:rsidRPr="009135C2" w:rsidRDefault="009135C2" w:rsidP="009135C2">
      <w:pPr>
        <w:jc w:val="both"/>
        <w:rPr>
          <w:b/>
          <w:bCs/>
          <w:sz w:val="20"/>
          <w:szCs w:val="20"/>
        </w:rPr>
      </w:pPr>
    </w:p>
    <w:p w:rsidR="009135C2" w:rsidRPr="00EA7D6F" w:rsidRDefault="009135C2" w:rsidP="009135C2">
      <w:pPr>
        <w:jc w:val="both"/>
        <w:rPr>
          <w:b/>
          <w:bCs/>
          <w:sz w:val="20"/>
          <w:szCs w:val="20"/>
        </w:rPr>
      </w:pPr>
      <w:r w:rsidRPr="00EA7D6F">
        <w:rPr>
          <w:b/>
          <w:bCs/>
          <w:sz w:val="20"/>
          <w:szCs w:val="20"/>
        </w:rPr>
        <w:t>Día 2. Palermo</w:t>
      </w:r>
    </w:p>
    <w:p w:rsidR="00EA7D6F" w:rsidRPr="00EA7D6F" w:rsidRDefault="009135C2" w:rsidP="009135C2">
      <w:pPr>
        <w:jc w:val="both"/>
        <w:rPr>
          <w:b/>
          <w:bCs/>
          <w:sz w:val="20"/>
          <w:szCs w:val="20"/>
        </w:rPr>
      </w:pPr>
      <w:r w:rsidRPr="00EA7D6F">
        <w:rPr>
          <w:b/>
          <w:bCs/>
          <w:sz w:val="20"/>
          <w:szCs w:val="20"/>
        </w:rPr>
        <w:t>Desayuno</w:t>
      </w:r>
      <w:r w:rsidRPr="009135C2">
        <w:rPr>
          <w:sz w:val="20"/>
          <w:szCs w:val="20"/>
        </w:rPr>
        <w:t>. Por la mañana visita a Monreale, antigua ciudad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de reyes. Regreso a Palermo. Visita de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la Catedral y otros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 xml:space="preserve">puntos de interés de la ciudad. Tarde libre. </w:t>
      </w:r>
      <w:r w:rsidRPr="00EA7D6F">
        <w:rPr>
          <w:b/>
          <w:bCs/>
          <w:sz w:val="20"/>
          <w:szCs w:val="20"/>
        </w:rPr>
        <w:t>Cena y alojamiento.</w:t>
      </w:r>
    </w:p>
    <w:p w:rsidR="00EA7D6F" w:rsidRDefault="00EA7D6F" w:rsidP="009135C2">
      <w:pPr>
        <w:jc w:val="both"/>
        <w:rPr>
          <w:sz w:val="20"/>
          <w:szCs w:val="20"/>
        </w:rPr>
      </w:pPr>
    </w:p>
    <w:p w:rsidR="009135C2" w:rsidRPr="00EA7D6F" w:rsidRDefault="009135C2" w:rsidP="009135C2">
      <w:pPr>
        <w:jc w:val="both"/>
        <w:rPr>
          <w:b/>
          <w:bCs/>
          <w:sz w:val="20"/>
          <w:szCs w:val="20"/>
        </w:rPr>
      </w:pPr>
      <w:r w:rsidRPr="00EA7D6F">
        <w:rPr>
          <w:b/>
          <w:bCs/>
          <w:sz w:val="20"/>
          <w:szCs w:val="20"/>
        </w:rPr>
        <w:t>D</w:t>
      </w:r>
      <w:r w:rsidR="00EA7D6F" w:rsidRPr="00EA7D6F">
        <w:rPr>
          <w:b/>
          <w:bCs/>
          <w:sz w:val="20"/>
          <w:szCs w:val="20"/>
        </w:rPr>
        <w:t xml:space="preserve">ía 3. </w:t>
      </w:r>
      <w:r w:rsidRPr="00EA7D6F">
        <w:rPr>
          <w:b/>
          <w:bCs/>
          <w:sz w:val="20"/>
          <w:szCs w:val="20"/>
        </w:rPr>
        <w:t xml:space="preserve">Palermo </w:t>
      </w:r>
      <w:r w:rsidR="00C068AC">
        <w:rPr>
          <w:b/>
          <w:bCs/>
          <w:sz w:val="20"/>
          <w:szCs w:val="20"/>
        </w:rPr>
        <w:t>-</w:t>
      </w:r>
      <w:r w:rsidRPr="00EA7D6F">
        <w:rPr>
          <w:b/>
          <w:bCs/>
          <w:sz w:val="20"/>
          <w:szCs w:val="20"/>
        </w:rPr>
        <w:t xml:space="preserve"> Erice </w:t>
      </w:r>
      <w:r w:rsidR="00C068AC">
        <w:rPr>
          <w:b/>
          <w:bCs/>
          <w:sz w:val="20"/>
          <w:szCs w:val="20"/>
        </w:rPr>
        <w:t>-</w:t>
      </w:r>
      <w:r w:rsidRPr="00EA7D6F">
        <w:rPr>
          <w:b/>
          <w:bCs/>
          <w:sz w:val="20"/>
          <w:szCs w:val="20"/>
        </w:rPr>
        <w:t xml:space="preserve"> Saline </w:t>
      </w:r>
      <w:proofErr w:type="spellStart"/>
      <w:r w:rsidRPr="00EA7D6F">
        <w:rPr>
          <w:b/>
          <w:bCs/>
          <w:sz w:val="20"/>
          <w:szCs w:val="20"/>
        </w:rPr>
        <w:t>della</w:t>
      </w:r>
      <w:proofErr w:type="spellEnd"/>
      <w:r w:rsidRPr="00EA7D6F">
        <w:rPr>
          <w:b/>
          <w:bCs/>
          <w:sz w:val="20"/>
          <w:szCs w:val="20"/>
        </w:rPr>
        <w:t xml:space="preserve"> Laguna </w:t>
      </w:r>
      <w:r w:rsidR="00C068AC">
        <w:rPr>
          <w:b/>
          <w:bCs/>
          <w:sz w:val="20"/>
          <w:szCs w:val="20"/>
        </w:rPr>
        <w:t>-</w:t>
      </w:r>
      <w:r w:rsidRPr="00EA7D6F">
        <w:rPr>
          <w:b/>
          <w:bCs/>
          <w:sz w:val="20"/>
          <w:szCs w:val="20"/>
        </w:rPr>
        <w:t xml:space="preserve"> </w:t>
      </w:r>
      <w:proofErr w:type="spellStart"/>
      <w:r w:rsidRPr="00EA7D6F">
        <w:rPr>
          <w:b/>
          <w:bCs/>
          <w:sz w:val="20"/>
          <w:szCs w:val="20"/>
        </w:rPr>
        <w:t>Marsala</w:t>
      </w:r>
      <w:proofErr w:type="spellEnd"/>
      <w:r w:rsidR="00EA7D6F" w:rsidRPr="00EA7D6F">
        <w:rPr>
          <w:b/>
          <w:bCs/>
          <w:sz w:val="20"/>
          <w:szCs w:val="20"/>
        </w:rPr>
        <w:t xml:space="preserve"> </w:t>
      </w:r>
      <w:r w:rsidR="00C068AC">
        <w:rPr>
          <w:b/>
          <w:bCs/>
          <w:sz w:val="20"/>
          <w:szCs w:val="20"/>
        </w:rPr>
        <w:t xml:space="preserve">- </w:t>
      </w:r>
      <w:r w:rsidRPr="00EA7D6F">
        <w:rPr>
          <w:b/>
          <w:bCs/>
          <w:sz w:val="20"/>
          <w:szCs w:val="20"/>
        </w:rPr>
        <w:t>Agrigento</w:t>
      </w:r>
    </w:p>
    <w:p w:rsidR="009135C2" w:rsidRDefault="009135C2" w:rsidP="009135C2">
      <w:pPr>
        <w:jc w:val="both"/>
        <w:rPr>
          <w:b/>
          <w:bCs/>
          <w:sz w:val="20"/>
          <w:szCs w:val="20"/>
        </w:rPr>
      </w:pPr>
      <w:r w:rsidRPr="00EA7D6F">
        <w:rPr>
          <w:b/>
          <w:bCs/>
          <w:sz w:val="20"/>
          <w:szCs w:val="20"/>
        </w:rPr>
        <w:t>Desayuno</w:t>
      </w:r>
      <w:r w:rsidRPr="009135C2">
        <w:rPr>
          <w:sz w:val="20"/>
          <w:szCs w:val="20"/>
        </w:rPr>
        <w:t>. Salida hacia Erice, pueblo medieval situado al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lado de Monte San Giuliano. Muchos dicen que poco ha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cambiado en el pueblo desde el siglo VI, su laberinto de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senderos es perfecto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para un paseo fresco y placentero por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la mañana. La visita continuará en la Salina, una laguna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extraordinaria,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donde la historia, la naturaleza y la arqueología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se unen en una síntesis perfecta.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Después nos dirigiremos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 xml:space="preserve">hacia </w:t>
      </w:r>
      <w:proofErr w:type="spellStart"/>
      <w:r w:rsidRPr="009135C2">
        <w:rPr>
          <w:sz w:val="20"/>
          <w:szCs w:val="20"/>
        </w:rPr>
        <w:t>Marsala</w:t>
      </w:r>
      <w:proofErr w:type="spellEnd"/>
      <w:r w:rsidRPr="009135C2">
        <w:rPr>
          <w:sz w:val="20"/>
          <w:szCs w:val="20"/>
        </w:rPr>
        <w:t>, tierra del vino por excelencia. Desfrute de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una maravillosa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experiencia, visitaremos una histórica y tradicional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bodega, en la que degustaremos los productos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culinarios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 xml:space="preserve">regionales en un </w:t>
      </w:r>
      <w:r w:rsidRPr="004A5A33">
        <w:rPr>
          <w:b/>
          <w:bCs/>
          <w:sz w:val="20"/>
          <w:szCs w:val="20"/>
        </w:rPr>
        <w:t>almuerzo ligero</w:t>
      </w:r>
      <w:r w:rsidRPr="009135C2">
        <w:rPr>
          <w:sz w:val="20"/>
          <w:szCs w:val="20"/>
        </w:rPr>
        <w:t>. Regresaremos al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autobús y continuaremos el viaje a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Agrigento, destino final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del día. Visite los monumentos y las antiguas ruinas griegas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en la Valle de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los Templos (entrada incluida), un sitio del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Patrimonio Mundial de la UNESCO, y conozca las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reliquias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arqueológicas, como el Templo Clásico de la Concordia, el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Templo de Hércules y el Templo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de Júpiter, uno de los edificios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de estilo dórico más grandes. Llegada al hotel por la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 xml:space="preserve">tarde. </w:t>
      </w:r>
      <w:r w:rsidRPr="00B94481">
        <w:rPr>
          <w:b/>
          <w:bCs/>
          <w:sz w:val="20"/>
          <w:szCs w:val="20"/>
        </w:rPr>
        <w:t>Cena y</w:t>
      </w:r>
      <w:r w:rsidR="00EA7D6F" w:rsidRPr="00B94481">
        <w:rPr>
          <w:b/>
          <w:bCs/>
          <w:sz w:val="20"/>
          <w:szCs w:val="20"/>
        </w:rPr>
        <w:t xml:space="preserve"> </w:t>
      </w:r>
      <w:r w:rsidRPr="00B94481">
        <w:rPr>
          <w:b/>
          <w:bCs/>
          <w:sz w:val="20"/>
          <w:szCs w:val="20"/>
        </w:rPr>
        <w:t>alojamiento.</w:t>
      </w:r>
    </w:p>
    <w:p w:rsidR="008B6328" w:rsidRDefault="008B6328" w:rsidP="009135C2">
      <w:pPr>
        <w:jc w:val="both"/>
        <w:rPr>
          <w:b/>
          <w:bCs/>
          <w:sz w:val="20"/>
          <w:szCs w:val="20"/>
        </w:rPr>
      </w:pPr>
    </w:p>
    <w:p w:rsidR="009135C2" w:rsidRPr="00EA7D6F" w:rsidRDefault="009135C2" w:rsidP="009135C2">
      <w:pPr>
        <w:jc w:val="both"/>
        <w:rPr>
          <w:b/>
          <w:bCs/>
          <w:sz w:val="20"/>
          <w:szCs w:val="20"/>
        </w:rPr>
      </w:pPr>
      <w:r w:rsidRPr="00EA7D6F">
        <w:rPr>
          <w:b/>
          <w:bCs/>
          <w:sz w:val="20"/>
          <w:szCs w:val="20"/>
        </w:rPr>
        <w:t>D</w:t>
      </w:r>
      <w:r w:rsidR="00EA7D6F" w:rsidRPr="00EA7D6F">
        <w:rPr>
          <w:b/>
          <w:bCs/>
          <w:sz w:val="20"/>
          <w:szCs w:val="20"/>
        </w:rPr>
        <w:t xml:space="preserve">ía 4. </w:t>
      </w:r>
      <w:r w:rsidRPr="00EA7D6F">
        <w:rPr>
          <w:b/>
          <w:bCs/>
          <w:sz w:val="20"/>
          <w:szCs w:val="20"/>
        </w:rPr>
        <w:t xml:space="preserve">Agrigento </w:t>
      </w:r>
      <w:r w:rsidR="00B65DE6">
        <w:rPr>
          <w:b/>
          <w:bCs/>
          <w:sz w:val="20"/>
          <w:szCs w:val="20"/>
        </w:rPr>
        <w:t>-</w:t>
      </w:r>
      <w:r w:rsidRPr="00EA7D6F">
        <w:rPr>
          <w:b/>
          <w:bCs/>
          <w:sz w:val="20"/>
          <w:szCs w:val="20"/>
        </w:rPr>
        <w:t xml:space="preserve"> Ragusa </w:t>
      </w:r>
      <w:proofErr w:type="spellStart"/>
      <w:r w:rsidRPr="00EA7D6F">
        <w:rPr>
          <w:b/>
          <w:bCs/>
          <w:sz w:val="20"/>
          <w:szCs w:val="20"/>
        </w:rPr>
        <w:t>Ibla</w:t>
      </w:r>
      <w:proofErr w:type="spellEnd"/>
      <w:r w:rsidRPr="00EA7D6F">
        <w:rPr>
          <w:b/>
          <w:bCs/>
          <w:sz w:val="20"/>
          <w:szCs w:val="20"/>
        </w:rPr>
        <w:t xml:space="preserve"> </w:t>
      </w:r>
      <w:r w:rsidR="00B65DE6">
        <w:rPr>
          <w:b/>
          <w:bCs/>
          <w:sz w:val="20"/>
          <w:szCs w:val="20"/>
        </w:rPr>
        <w:t xml:space="preserve">- </w:t>
      </w:r>
      <w:r w:rsidRPr="00EA7D6F">
        <w:rPr>
          <w:b/>
          <w:bCs/>
          <w:sz w:val="20"/>
          <w:szCs w:val="20"/>
        </w:rPr>
        <w:t>Ragusa</w:t>
      </w:r>
    </w:p>
    <w:p w:rsidR="00B65DE6" w:rsidRDefault="009135C2" w:rsidP="009135C2">
      <w:pPr>
        <w:jc w:val="both"/>
        <w:rPr>
          <w:sz w:val="20"/>
          <w:szCs w:val="20"/>
        </w:rPr>
      </w:pPr>
      <w:r w:rsidRPr="00EA7D6F">
        <w:rPr>
          <w:b/>
          <w:bCs/>
          <w:sz w:val="20"/>
          <w:szCs w:val="20"/>
        </w:rPr>
        <w:t>Desayuno</w:t>
      </w:r>
      <w:r w:rsidR="00B65DE6">
        <w:rPr>
          <w:sz w:val="20"/>
          <w:szCs w:val="20"/>
        </w:rPr>
        <w:t>. S</w:t>
      </w:r>
      <w:r w:rsidRPr="009135C2">
        <w:rPr>
          <w:sz w:val="20"/>
          <w:szCs w:val="20"/>
        </w:rPr>
        <w:t>alida hacia Ragusa y visita al encantador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centro histórico "</w:t>
      </w:r>
      <w:proofErr w:type="spellStart"/>
      <w:r w:rsidRPr="009135C2">
        <w:rPr>
          <w:sz w:val="20"/>
          <w:szCs w:val="20"/>
        </w:rPr>
        <w:t>Ibla</w:t>
      </w:r>
      <w:proofErr w:type="spellEnd"/>
      <w:r w:rsidRPr="009135C2">
        <w:rPr>
          <w:sz w:val="20"/>
          <w:szCs w:val="20"/>
        </w:rPr>
        <w:t>", con sus impresionantes palacios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e iglesias barrocas; junto con otras siete ciudades en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la Val di Noto, Ragusa figura entre los sitios del Patrimonio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Mundial de la UNESCO. Visitaremos la antigua puerta de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San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 xml:space="preserve">Giorgio, los Jardines </w:t>
      </w:r>
      <w:proofErr w:type="spellStart"/>
      <w:r w:rsidRPr="009135C2">
        <w:rPr>
          <w:sz w:val="20"/>
          <w:szCs w:val="20"/>
        </w:rPr>
        <w:t>Iblei</w:t>
      </w:r>
      <w:proofErr w:type="spellEnd"/>
      <w:r w:rsidRPr="009135C2">
        <w:rPr>
          <w:sz w:val="20"/>
          <w:szCs w:val="20"/>
        </w:rPr>
        <w:t xml:space="preserve"> y luego caminaremos hasta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Piazza Pola, para visitar la iglesia de San Giuseppe, una pequeña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joya. Déjese hechizar por la elegante Catedral de San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Giorgio, la Iglesia de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las Almas en el Purgatorio y el magnífico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 xml:space="preserve">Palacio </w:t>
      </w:r>
      <w:proofErr w:type="spellStart"/>
      <w:r w:rsidRPr="009135C2">
        <w:rPr>
          <w:sz w:val="20"/>
          <w:szCs w:val="20"/>
        </w:rPr>
        <w:t>Cosentini</w:t>
      </w:r>
      <w:proofErr w:type="spellEnd"/>
      <w:r w:rsidRPr="009135C2">
        <w:rPr>
          <w:sz w:val="20"/>
          <w:szCs w:val="20"/>
        </w:rPr>
        <w:t>, uno de los palacios barrocos tardíos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 xml:space="preserve">más interesantes de Sicilia. </w:t>
      </w:r>
      <w:r w:rsidRPr="00B94481">
        <w:rPr>
          <w:b/>
          <w:bCs/>
          <w:sz w:val="20"/>
          <w:szCs w:val="20"/>
        </w:rPr>
        <w:t>Cena en el hotel y alojamiento</w:t>
      </w:r>
      <w:r w:rsidRPr="009135C2">
        <w:rPr>
          <w:sz w:val="20"/>
          <w:szCs w:val="20"/>
        </w:rPr>
        <w:t>.</w:t>
      </w:r>
    </w:p>
    <w:p w:rsidR="00B65DE6" w:rsidRPr="009135C2" w:rsidRDefault="00B65DE6" w:rsidP="009135C2">
      <w:pPr>
        <w:jc w:val="both"/>
        <w:rPr>
          <w:sz w:val="20"/>
          <w:szCs w:val="20"/>
        </w:rPr>
      </w:pPr>
    </w:p>
    <w:p w:rsidR="009135C2" w:rsidRPr="00EA7D6F" w:rsidRDefault="009135C2" w:rsidP="009135C2">
      <w:pPr>
        <w:jc w:val="both"/>
        <w:rPr>
          <w:b/>
          <w:bCs/>
          <w:sz w:val="20"/>
          <w:szCs w:val="20"/>
        </w:rPr>
      </w:pPr>
      <w:r w:rsidRPr="00EA7D6F">
        <w:rPr>
          <w:b/>
          <w:bCs/>
          <w:sz w:val="20"/>
          <w:szCs w:val="20"/>
        </w:rPr>
        <w:t>D</w:t>
      </w:r>
      <w:r w:rsidR="00EA7D6F" w:rsidRPr="00EA7D6F">
        <w:rPr>
          <w:b/>
          <w:bCs/>
          <w:sz w:val="20"/>
          <w:szCs w:val="20"/>
        </w:rPr>
        <w:t>ía 5.</w:t>
      </w:r>
      <w:r w:rsidR="00B62FAB">
        <w:rPr>
          <w:b/>
          <w:bCs/>
          <w:sz w:val="20"/>
          <w:szCs w:val="20"/>
        </w:rPr>
        <w:t xml:space="preserve"> </w:t>
      </w:r>
      <w:r w:rsidRPr="00EA7D6F">
        <w:rPr>
          <w:b/>
          <w:bCs/>
          <w:sz w:val="20"/>
          <w:szCs w:val="20"/>
        </w:rPr>
        <w:t xml:space="preserve">Ragusa </w:t>
      </w:r>
      <w:r w:rsidR="00B62FAB">
        <w:rPr>
          <w:b/>
          <w:bCs/>
          <w:sz w:val="20"/>
          <w:szCs w:val="20"/>
        </w:rPr>
        <w:t>-</w:t>
      </w:r>
      <w:r w:rsidRPr="00EA7D6F">
        <w:rPr>
          <w:b/>
          <w:bCs/>
          <w:sz w:val="20"/>
          <w:szCs w:val="20"/>
        </w:rPr>
        <w:t xml:space="preserve"> Noto </w:t>
      </w:r>
      <w:r w:rsidR="00B62FAB">
        <w:rPr>
          <w:b/>
          <w:bCs/>
          <w:sz w:val="20"/>
          <w:szCs w:val="20"/>
        </w:rPr>
        <w:t>-</w:t>
      </w:r>
      <w:r w:rsidRPr="00EA7D6F">
        <w:rPr>
          <w:b/>
          <w:bCs/>
          <w:sz w:val="20"/>
          <w:szCs w:val="20"/>
        </w:rPr>
        <w:t xml:space="preserve"> Siracusa </w:t>
      </w:r>
      <w:r w:rsidR="00B62FAB">
        <w:rPr>
          <w:b/>
          <w:bCs/>
          <w:sz w:val="20"/>
          <w:szCs w:val="20"/>
        </w:rPr>
        <w:t>-</w:t>
      </w:r>
      <w:r w:rsidRPr="00EA7D6F">
        <w:rPr>
          <w:b/>
          <w:bCs/>
          <w:sz w:val="20"/>
          <w:szCs w:val="20"/>
        </w:rPr>
        <w:t xml:space="preserve"> Taormina</w:t>
      </w:r>
    </w:p>
    <w:p w:rsidR="009135C2" w:rsidRDefault="009135C2" w:rsidP="009135C2">
      <w:pPr>
        <w:jc w:val="both"/>
        <w:rPr>
          <w:b/>
          <w:bCs/>
          <w:sz w:val="20"/>
          <w:szCs w:val="20"/>
        </w:rPr>
      </w:pPr>
      <w:r w:rsidRPr="00EA7D6F">
        <w:rPr>
          <w:b/>
          <w:bCs/>
          <w:sz w:val="20"/>
          <w:szCs w:val="20"/>
        </w:rPr>
        <w:t>Desayuno</w:t>
      </w:r>
      <w:r w:rsidR="00B05390">
        <w:rPr>
          <w:sz w:val="20"/>
          <w:szCs w:val="20"/>
        </w:rPr>
        <w:t>. S</w:t>
      </w:r>
      <w:r w:rsidRPr="009135C2">
        <w:rPr>
          <w:sz w:val="20"/>
          <w:szCs w:val="20"/>
        </w:rPr>
        <w:t>alida hacia Noto, un pintoresco pueblo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pesquero, popular por su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majestuosa arquitectura barroca.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 xml:space="preserve">Visita a la Catedral de San </w:t>
      </w:r>
      <w:proofErr w:type="spellStart"/>
      <w:r w:rsidRPr="009135C2">
        <w:rPr>
          <w:sz w:val="20"/>
          <w:szCs w:val="20"/>
        </w:rPr>
        <w:t>Nicolò</w:t>
      </w:r>
      <w:proofErr w:type="spellEnd"/>
      <w:r w:rsidRPr="009135C2">
        <w:rPr>
          <w:sz w:val="20"/>
          <w:szCs w:val="20"/>
        </w:rPr>
        <w:t>, recientemente restaurada</w:t>
      </w:r>
      <w:r w:rsidR="00A35E41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después de un terremoto y luego disfrutaremos de un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agradable paseo por el centro de la ciudad.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Continuaremos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por la costa sur hasta Siracusa, en el extremo sureste de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Sicilia, para visitar la isla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 xml:space="preserve">de </w:t>
      </w:r>
      <w:proofErr w:type="spellStart"/>
      <w:r w:rsidRPr="009135C2">
        <w:rPr>
          <w:sz w:val="20"/>
          <w:szCs w:val="20"/>
        </w:rPr>
        <w:t>Ortigia</w:t>
      </w:r>
      <w:proofErr w:type="spellEnd"/>
      <w:r w:rsidRPr="009135C2">
        <w:rPr>
          <w:sz w:val="20"/>
          <w:szCs w:val="20"/>
        </w:rPr>
        <w:t>, la parte más antigua de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Siracusa, que alberga una gran cantidad de iglesias barrocas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y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palacios medievales. Al caer de la tarde, llegaremos a Taormina.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Después del registro en el hotel,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ubicado en el centro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 xml:space="preserve">de Taormina, disfrute de la </w:t>
      </w:r>
      <w:r w:rsidRPr="00E211AC">
        <w:rPr>
          <w:b/>
          <w:bCs/>
          <w:sz w:val="20"/>
          <w:szCs w:val="20"/>
        </w:rPr>
        <w:t>cena</w:t>
      </w:r>
      <w:r w:rsidR="00E211AC" w:rsidRPr="00E211AC">
        <w:rPr>
          <w:b/>
          <w:bCs/>
          <w:sz w:val="20"/>
          <w:szCs w:val="20"/>
        </w:rPr>
        <w:t xml:space="preserve"> y alojamiento.</w:t>
      </w:r>
    </w:p>
    <w:p w:rsidR="00B37BA4" w:rsidRDefault="00B37BA4" w:rsidP="009135C2">
      <w:pPr>
        <w:jc w:val="both"/>
        <w:rPr>
          <w:b/>
          <w:bCs/>
          <w:sz w:val="20"/>
          <w:szCs w:val="20"/>
        </w:rPr>
      </w:pPr>
    </w:p>
    <w:p w:rsidR="009135C2" w:rsidRPr="00EA7D6F" w:rsidRDefault="009135C2" w:rsidP="009135C2">
      <w:pPr>
        <w:jc w:val="both"/>
        <w:rPr>
          <w:b/>
          <w:bCs/>
          <w:sz w:val="20"/>
          <w:szCs w:val="20"/>
        </w:rPr>
      </w:pPr>
      <w:r w:rsidRPr="00EA7D6F">
        <w:rPr>
          <w:b/>
          <w:bCs/>
          <w:sz w:val="20"/>
          <w:szCs w:val="20"/>
        </w:rPr>
        <w:t>D</w:t>
      </w:r>
      <w:r w:rsidR="00EA7D6F" w:rsidRPr="00EA7D6F">
        <w:rPr>
          <w:b/>
          <w:bCs/>
          <w:sz w:val="20"/>
          <w:szCs w:val="20"/>
        </w:rPr>
        <w:t xml:space="preserve">ía 6. </w:t>
      </w:r>
      <w:r w:rsidRPr="00EA7D6F">
        <w:rPr>
          <w:b/>
          <w:bCs/>
          <w:sz w:val="20"/>
          <w:szCs w:val="20"/>
        </w:rPr>
        <w:t>Taormina</w:t>
      </w:r>
    </w:p>
    <w:p w:rsidR="00EA7D6F" w:rsidRPr="00B37BA4" w:rsidRDefault="009135C2" w:rsidP="009135C2">
      <w:pPr>
        <w:jc w:val="both"/>
        <w:rPr>
          <w:b/>
          <w:bCs/>
          <w:sz w:val="20"/>
          <w:szCs w:val="20"/>
        </w:rPr>
      </w:pPr>
      <w:r w:rsidRPr="00EA7D6F">
        <w:rPr>
          <w:b/>
          <w:bCs/>
          <w:sz w:val="20"/>
          <w:szCs w:val="20"/>
        </w:rPr>
        <w:t>Des</w:t>
      </w:r>
      <w:r w:rsidR="00B37BA4">
        <w:rPr>
          <w:b/>
          <w:bCs/>
          <w:sz w:val="20"/>
          <w:szCs w:val="20"/>
        </w:rPr>
        <w:t>ayuno.</w:t>
      </w:r>
      <w:r w:rsidRPr="009135C2">
        <w:rPr>
          <w:sz w:val="20"/>
          <w:szCs w:val="20"/>
        </w:rPr>
        <w:t xml:space="preserve"> </w:t>
      </w:r>
      <w:r w:rsidR="00B37BA4">
        <w:rPr>
          <w:sz w:val="20"/>
          <w:szCs w:val="20"/>
        </w:rPr>
        <w:t>S</w:t>
      </w:r>
      <w:r w:rsidRPr="009135C2">
        <w:rPr>
          <w:sz w:val="20"/>
          <w:szCs w:val="20"/>
        </w:rPr>
        <w:t>alida hacia el Monte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Etna, el volcán activo más grande de Europa y la montaña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más alta de Italia. Aprenda sobre la actividad volcánica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y maravíllese con los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viejos campos de lava y la roca negra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de magma que hacen parte del paisaje del Etna. Si el clima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lo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permite, tendrá la oportunidad de subir a la cima (1800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m). Después, regreso a Taormina, la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hermosa y romántica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ciudad ubicada en el Monte Tauro. Regreso por la tarde al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>hotel y resto del</w:t>
      </w:r>
      <w:r w:rsidR="00EA7D6F">
        <w:rPr>
          <w:sz w:val="20"/>
          <w:szCs w:val="20"/>
        </w:rPr>
        <w:t xml:space="preserve"> </w:t>
      </w:r>
      <w:r w:rsidRPr="009135C2">
        <w:rPr>
          <w:sz w:val="20"/>
          <w:szCs w:val="20"/>
        </w:rPr>
        <w:t xml:space="preserve">día libre. </w:t>
      </w:r>
      <w:r w:rsidRPr="00B37BA4">
        <w:rPr>
          <w:b/>
          <w:bCs/>
          <w:sz w:val="20"/>
          <w:szCs w:val="20"/>
        </w:rPr>
        <w:t>Alojamiento.</w:t>
      </w:r>
      <w:r w:rsidR="00EA7D6F" w:rsidRPr="00B37BA4">
        <w:rPr>
          <w:b/>
          <w:bCs/>
          <w:sz w:val="20"/>
          <w:szCs w:val="20"/>
        </w:rPr>
        <w:t xml:space="preserve"> </w:t>
      </w:r>
    </w:p>
    <w:p w:rsidR="00EA7D6F" w:rsidRPr="00B37BA4" w:rsidRDefault="00EA7D6F" w:rsidP="009135C2">
      <w:pPr>
        <w:jc w:val="both"/>
        <w:rPr>
          <w:b/>
          <w:bCs/>
          <w:sz w:val="20"/>
          <w:szCs w:val="20"/>
        </w:rPr>
      </w:pPr>
    </w:p>
    <w:p w:rsidR="00B37BA4" w:rsidRDefault="00B37BA4" w:rsidP="009135C2">
      <w:pPr>
        <w:jc w:val="both"/>
        <w:rPr>
          <w:sz w:val="20"/>
          <w:szCs w:val="20"/>
        </w:rPr>
      </w:pPr>
    </w:p>
    <w:p w:rsidR="00EA7D6F" w:rsidRPr="00EA7D6F" w:rsidRDefault="00CE7259" w:rsidP="009135C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="00EA7D6F" w:rsidRPr="00EA7D6F">
        <w:rPr>
          <w:b/>
          <w:bCs/>
          <w:sz w:val="20"/>
          <w:szCs w:val="20"/>
        </w:rPr>
        <w:t xml:space="preserve">ía 7 </w:t>
      </w:r>
      <w:r w:rsidR="009135C2" w:rsidRPr="00EA7D6F">
        <w:rPr>
          <w:b/>
          <w:bCs/>
          <w:sz w:val="20"/>
          <w:szCs w:val="20"/>
        </w:rPr>
        <w:t>Taormina</w:t>
      </w:r>
      <w:r w:rsidR="00EA7D6F" w:rsidRPr="00EA7D6F">
        <w:rPr>
          <w:b/>
          <w:bCs/>
          <w:sz w:val="20"/>
          <w:szCs w:val="20"/>
        </w:rPr>
        <w:t xml:space="preserve"> </w:t>
      </w:r>
    </w:p>
    <w:p w:rsidR="00365EBC" w:rsidRPr="00A16AA7" w:rsidRDefault="009135C2" w:rsidP="009135C2">
      <w:pPr>
        <w:jc w:val="both"/>
        <w:rPr>
          <w:b/>
          <w:bCs/>
          <w:i/>
          <w:iCs/>
          <w:color w:val="4472C4" w:themeColor="accent1"/>
          <w:sz w:val="20"/>
          <w:szCs w:val="20"/>
        </w:rPr>
      </w:pPr>
      <w:r w:rsidRPr="00EA7D6F">
        <w:rPr>
          <w:b/>
          <w:bCs/>
          <w:sz w:val="20"/>
          <w:szCs w:val="20"/>
        </w:rPr>
        <w:t>Desayuno</w:t>
      </w:r>
      <w:r w:rsidR="00DC1047">
        <w:rPr>
          <w:sz w:val="20"/>
          <w:szCs w:val="20"/>
        </w:rPr>
        <w:t xml:space="preserve"> </w:t>
      </w:r>
      <w:r w:rsidR="00DC1047" w:rsidRPr="00A16AA7">
        <w:rPr>
          <w:b/>
          <w:bCs/>
          <w:i/>
          <w:iCs/>
          <w:color w:val="4472C4" w:themeColor="accent1"/>
          <w:sz w:val="20"/>
          <w:szCs w:val="20"/>
        </w:rPr>
        <w:t xml:space="preserve">(no incluye ningún traslado de salida) </w:t>
      </w:r>
    </w:p>
    <w:p w:rsidR="00EA7D6F" w:rsidRDefault="00EA7D6F" w:rsidP="009135C2">
      <w:pPr>
        <w:jc w:val="both"/>
        <w:rPr>
          <w:sz w:val="20"/>
          <w:szCs w:val="20"/>
        </w:rPr>
      </w:pPr>
    </w:p>
    <w:p w:rsidR="00EA7D6F" w:rsidRPr="009135C2" w:rsidRDefault="00EA7D6F" w:rsidP="009135C2">
      <w:pPr>
        <w:jc w:val="both"/>
        <w:rPr>
          <w:sz w:val="20"/>
          <w:szCs w:val="20"/>
        </w:rPr>
      </w:pPr>
    </w:p>
    <w:p w:rsidR="00481510" w:rsidRDefault="00481510" w:rsidP="00481510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481510" w:rsidRDefault="00481510" w:rsidP="00481510">
      <w:pPr>
        <w:jc w:val="center"/>
        <w:rPr>
          <w:sz w:val="20"/>
          <w:szCs w:val="20"/>
          <w:lang w:val="es-ES"/>
        </w:rPr>
      </w:pPr>
    </w:p>
    <w:p w:rsidR="00481510" w:rsidRDefault="00481510" w:rsidP="00481510">
      <w:pPr>
        <w:jc w:val="center"/>
        <w:rPr>
          <w:sz w:val="20"/>
          <w:szCs w:val="20"/>
          <w:lang w:val="es-ES"/>
        </w:rPr>
      </w:pPr>
    </w:p>
    <w:p w:rsidR="00481510" w:rsidRPr="00B56B0D" w:rsidRDefault="00481510" w:rsidP="00481510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80EB2" wp14:editId="45488919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5EBC" w:rsidRPr="00F74623" w:rsidRDefault="00365EBC" w:rsidP="00481510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A80EB2" id="Rectángulo 3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365EBC" w:rsidRPr="00F74623" w:rsidRDefault="00365EBC" w:rsidP="00481510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81510" w:rsidRDefault="00481510" w:rsidP="00481510">
      <w:pPr>
        <w:rPr>
          <w:sz w:val="20"/>
          <w:szCs w:val="20"/>
          <w:lang w:val="es-ES"/>
        </w:rPr>
      </w:pPr>
    </w:p>
    <w:p w:rsidR="00781FF6" w:rsidRPr="00781FF6" w:rsidRDefault="00781FF6" w:rsidP="00781FF6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Pr="00781FF6">
        <w:rPr>
          <w:sz w:val="20"/>
          <w:szCs w:val="20"/>
        </w:rPr>
        <w:t xml:space="preserve">noches de alojamiento en </w:t>
      </w:r>
      <w:r>
        <w:rPr>
          <w:sz w:val="20"/>
          <w:szCs w:val="20"/>
        </w:rPr>
        <w:t>Palermo</w:t>
      </w:r>
      <w:r w:rsidRPr="00781FF6">
        <w:rPr>
          <w:sz w:val="20"/>
          <w:szCs w:val="20"/>
        </w:rPr>
        <w:t xml:space="preserve">, </w:t>
      </w:r>
      <w:r>
        <w:rPr>
          <w:sz w:val="20"/>
          <w:szCs w:val="20"/>
        </w:rPr>
        <w:t>1</w:t>
      </w:r>
      <w:r w:rsidRPr="00781FF6">
        <w:rPr>
          <w:sz w:val="20"/>
          <w:szCs w:val="20"/>
        </w:rPr>
        <w:t xml:space="preserve"> en </w:t>
      </w:r>
      <w:r>
        <w:rPr>
          <w:sz w:val="20"/>
          <w:szCs w:val="20"/>
        </w:rPr>
        <w:t>Agrigento</w:t>
      </w:r>
      <w:r w:rsidRPr="00781FF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1 en Ragusa </w:t>
      </w:r>
      <w:r w:rsidRPr="00781FF6">
        <w:rPr>
          <w:sz w:val="20"/>
          <w:szCs w:val="20"/>
        </w:rPr>
        <w:t xml:space="preserve">y </w:t>
      </w:r>
      <w:r>
        <w:rPr>
          <w:sz w:val="20"/>
          <w:szCs w:val="20"/>
        </w:rPr>
        <w:t>2</w:t>
      </w:r>
      <w:r w:rsidRPr="00781FF6">
        <w:rPr>
          <w:sz w:val="20"/>
          <w:szCs w:val="20"/>
        </w:rPr>
        <w:t xml:space="preserve"> en </w:t>
      </w:r>
      <w:r>
        <w:rPr>
          <w:sz w:val="20"/>
          <w:szCs w:val="20"/>
        </w:rPr>
        <w:t>Taormina</w:t>
      </w:r>
      <w:r w:rsidRPr="00781FF6">
        <w:rPr>
          <w:sz w:val="20"/>
          <w:szCs w:val="20"/>
        </w:rPr>
        <w:t>.</w:t>
      </w:r>
    </w:p>
    <w:p w:rsidR="00781FF6" w:rsidRPr="00A16AA7" w:rsidRDefault="00781FF6" w:rsidP="00A16AA7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781FF6">
        <w:rPr>
          <w:sz w:val="20"/>
          <w:szCs w:val="20"/>
        </w:rPr>
        <w:t xml:space="preserve"> desayunos, </w:t>
      </w:r>
      <w:r>
        <w:rPr>
          <w:sz w:val="20"/>
          <w:szCs w:val="20"/>
        </w:rPr>
        <w:t>1</w:t>
      </w:r>
      <w:r w:rsidRPr="00781FF6">
        <w:rPr>
          <w:sz w:val="20"/>
          <w:szCs w:val="20"/>
        </w:rPr>
        <w:t xml:space="preserve"> almuerzos y </w:t>
      </w:r>
      <w:r>
        <w:rPr>
          <w:sz w:val="20"/>
          <w:szCs w:val="20"/>
        </w:rPr>
        <w:t>5</w:t>
      </w:r>
      <w:r w:rsidRPr="00781FF6">
        <w:rPr>
          <w:sz w:val="20"/>
          <w:szCs w:val="20"/>
        </w:rPr>
        <w:t xml:space="preserve"> cena</w:t>
      </w:r>
      <w:r>
        <w:rPr>
          <w:sz w:val="20"/>
          <w:szCs w:val="20"/>
        </w:rPr>
        <w:t>s.</w:t>
      </w:r>
    </w:p>
    <w:p w:rsidR="00781FF6" w:rsidRPr="00781FF6" w:rsidRDefault="00781FF6" w:rsidP="00781FF6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 w:rsidRPr="00781FF6">
        <w:rPr>
          <w:sz w:val="20"/>
          <w:szCs w:val="20"/>
        </w:rPr>
        <w:t>Visitas según itinerario en servicio compartido.</w:t>
      </w:r>
    </w:p>
    <w:p w:rsidR="00781FF6" w:rsidRDefault="00781FF6" w:rsidP="00781FF6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 w:rsidRPr="00781FF6">
        <w:rPr>
          <w:sz w:val="20"/>
          <w:szCs w:val="20"/>
        </w:rPr>
        <w:t>Transporte en autocar y guía de habla hispana durante su recorrido.</w:t>
      </w:r>
    </w:p>
    <w:p w:rsidR="00A16AA7" w:rsidRPr="00781FF6" w:rsidRDefault="00A16AA7" w:rsidP="00781FF6">
      <w:pPr>
        <w:pStyle w:val="Prrafodelista"/>
        <w:numPr>
          <w:ilvl w:val="0"/>
          <w:numId w:val="4"/>
        </w:numPr>
        <w:tabs>
          <w:tab w:val="left" w:pos="851"/>
        </w:tabs>
        <w:jc w:val="both"/>
        <w:rPr>
          <w:sz w:val="20"/>
          <w:szCs w:val="20"/>
        </w:rPr>
      </w:pPr>
      <w:r w:rsidRPr="00A16AA7">
        <w:rPr>
          <w:sz w:val="20"/>
          <w:szCs w:val="20"/>
        </w:rPr>
        <w:t>Guías locales en Palermo Agrigento</w:t>
      </w:r>
    </w:p>
    <w:p w:rsidR="00781FF6" w:rsidRPr="00781FF6" w:rsidRDefault="00781FF6" w:rsidP="00A87150">
      <w:pPr>
        <w:rPr>
          <w:sz w:val="20"/>
          <w:szCs w:val="20"/>
          <w:highlight w:val="green"/>
          <w:lang w:val="es-MX"/>
        </w:rPr>
      </w:pPr>
    </w:p>
    <w:p w:rsidR="007D298D" w:rsidRDefault="007D298D" w:rsidP="00481510">
      <w:pPr>
        <w:rPr>
          <w:b/>
          <w:sz w:val="20"/>
          <w:szCs w:val="20"/>
        </w:rPr>
      </w:pPr>
    </w:p>
    <w:p w:rsidR="00481510" w:rsidRPr="00B56B0D" w:rsidRDefault="00481510" w:rsidP="00481510">
      <w:pPr>
        <w:ind w:left="142"/>
        <w:rPr>
          <w:b/>
        </w:rPr>
      </w:pPr>
      <w:r w:rsidRPr="00B56B0D">
        <w:rPr>
          <w:b/>
        </w:rPr>
        <w:t>NO Incluye</w:t>
      </w:r>
    </w:p>
    <w:p w:rsidR="00481510" w:rsidRDefault="00481510" w:rsidP="0048151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8B0B9D" w:rsidRPr="00A16AA7" w:rsidRDefault="008B0B9D" w:rsidP="0048151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b/>
          <w:bCs/>
          <w:sz w:val="20"/>
          <w:szCs w:val="20"/>
        </w:rPr>
      </w:pPr>
      <w:r w:rsidRPr="00A16AA7">
        <w:rPr>
          <w:b/>
          <w:bCs/>
          <w:sz w:val="20"/>
          <w:szCs w:val="20"/>
        </w:rPr>
        <w:t xml:space="preserve">Traslados: aeropuerto – hotel – aeropuerto. </w:t>
      </w:r>
    </w:p>
    <w:p w:rsidR="00481510" w:rsidRPr="00B56B0D" w:rsidRDefault="00481510" w:rsidP="0048151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481510" w:rsidRDefault="00481510" w:rsidP="0048151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E92725" w:rsidRPr="00B56B0D" w:rsidRDefault="00E92725" w:rsidP="0048151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Impuesto municipal de alojamiento</w:t>
      </w:r>
      <w:r w:rsidR="00B94454">
        <w:rPr>
          <w:sz w:val="20"/>
          <w:szCs w:val="20"/>
        </w:rPr>
        <w:t xml:space="preserve">, el cual se paga directamente en el </w:t>
      </w:r>
      <w:r w:rsidR="00915A53">
        <w:rPr>
          <w:sz w:val="20"/>
          <w:szCs w:val="20"/>
        </w:rPr>
        <w:t>Hotel.</w:t>
      </w:r>
    </w:p>
    <w:p w:rsidR="00481510" w:rsidRPr="00B56B0D" w:rsidRDefault="00481510" w:rsidP="0048151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481510" w:rsidRDefault="00481510" w:rsidP="0048151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481510" w:rsidRDefault="00481510" w:rsidP="0048151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Entradas a los monumentos</w:t>
      </w:r>
    </w:p>
    <w:p w:rsidR="00481510" w:rsidRPr="00AF2AF1" w:rsidRDefault="00481510" w:rsidP="0048151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rFonts w:eastAsia="Calibri" w:cs="Tahoma"/>
          <w:b/>
          <w:color w:val="000000" w:themeColor="text1"/>
        </w:rPr>
      </w:pPr>
      <w:r w:rsidRPr="00B56B0D">
        <w:rPr>
          <w:sz w:val="20"/>
          <w:szCs w:val="20"/>
        </w:rPr>
        <w:t>Propinas</w:t>
      </w:r>
    </w:p>
    <w:p w:rsidR="00474F91" w:rsidRDefault="00481510" w:rsidP="00481510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42D1B">
        <w:rPr>
          <w:sz w:val="20"/>
          <w:szCs w:val="20"/>
        </w:rPr>
        <w:t xml:space="preserve">Seguro de asistencia en viaje con cobertura COVID </w:t>
      </w:r>
    </w:p>
    <w:p w:rsidR="007F7040" w:rsidRPr="007F7040" w:rsidRDefault="007F7040" w:rsidP="007F7040">
      <w:pPr>
        <w:pStyle w:val="Prrafodelista"/>
        <w:tabs>
          <w:tab w:val="left" w:pos="851"/>
        </w:tabs>
        <w:spacing w:after="0" w:line="240" w:lineRule="auto"/>
        <w:ind w:left="1276"/>
        <w:rPr>
          <w:sz w:val="20"/>
          <w:szCs w:val="20"/>
        </w:rPr>
      </w:pPr>
    </w:p>
    <w:p w:rsidR="00C27D18" w:rsidRDefault="00C27D18" w:rsidP="00C27D18">
      <w:pPr>
        <w:rPr>
          <w:rFonts w:eastAsia="Calibri" w:cs="Tahoma"/>
          <w:b/>
          <w:color w:val="000000" w:themeColor="text1"/>
        </w:rPr>
      </w:pPr>
    </w:p>
    <w:tbl>
      <w:tblPr>
        <w:tblW w:w="3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343"/>
        <w:gridCol w:w="343"/>
        <w:gridCol w:w="343"/>
        <w:gridCol w:w="343"/>
        <w:gridCol w:w="343"/>
      </w:tblGrid>
      <w:tr w:rsidR="00C27D18" w:rsidRPr="00072DB8" w:rsidTr="00C27D18">
        <w:trPr>
          <w:trHeight w:val="172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C27D18" w:rsidRPr="00072DB8" w:rsidRDefault="00C27D18" w:rsidP="00EC38C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72DB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Llegadas</w:t>
            </w:r>
          </w:p>
        </w:tc>
        <w:tc>
          <w:tcPr>
            <w:tcW w:w="17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C27D18" w:rsidRPr="00072DB8" w:rsidRDefault="00C27D18" w:rsidP="00EC38C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72DB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Jueves</w:t>
            </w:r>
          </w:p>
        </w:tc>
      </w:tr>
      <w:tr w:rsidR="00C27D18" w:rsidRPr="00072DB8" w:rsidTr="00C27D18">
        <w:trPr>
          <w:trHeight w:val="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D18" w:rsidRPr="00072DB8" w:rsidRDefault="00C27D18" w:rsidP="00EC38C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2D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Agosto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5D4FDA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C27D18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C27D18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C27D18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7D18" w:rsidRPr="00072DB8" w:rsidRDefault="00C27D18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C27D18" w:rsidRPr="00072DB8" w:rsidTr="00C27D18">
        <w:trPr>
          <w:trHeight w:val="8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D18" w:rsidRPr="00072DB8" w:rsidRDefault="00C27D18" w:rsidP="00EC38C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2D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Septiembre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5D4FDA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5D4FDA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5D4FDA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C27D18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7D18" w:rsidRPr="00072DB8" w:rsidRDefault="00C27D18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C27D18" w:rsidRPr="00072DB8" w:rsidTr="00C27D18">
        <w:trPr>
          <w:trHeight w:val="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D18" w:rsidRPr="00072DB8" w:rsidRDefault="00C27D18" w:rsidP="00EC38C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2D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Octubre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5D4FDA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5D4FDA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E36C80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C27D18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7D18" w:rsidRPr="00072DB8" w:rsidRDefault="00C27D18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C27D18" w:rsidRPr="00072DB8" w:rsidTr="00C27D18">
        <w:trPr>
          <w:trHeight w:val="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D18" w:rsidRPr="00072DB8" w:rsidRDefault="00C27D18" w:rsidP="00EC38C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2D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Noviembre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E36C80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C27D18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C27D18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C27D18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7D18" w:rsidRPr="00072DB8" w:rsidRDefault="00C27D18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C27D18" w:rsidRPr="00072DB8" w:rsidTr="00C27D18">
        <w:trPr>
          <w:trHeight w:val="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D18" w:rsidRPr="00072DB8" w:rsidRDefault="00C27D18" w:rsidP="00EC38C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72D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Marzo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E36C80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C27D18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C27D18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7D18" w:rsidRPr="00072DB8" w:rsidRDefault="00C27D18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7D18" w:rsidRPr="00072DB8" w:rsidRDefault="00C27D18" w:rsidP="00EC38C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:rsidR="002861BF" w:rsidRDefault="002861BF" w:rsidP="00481510">
      <w:pPr>
        <w:rPr>
          <w:rFonts w:eastAsia="Calibri" w:cs="Tahoma"/>
          <w:b/>
          <w:color w:val="000000" w:themeColor="text1"/>
          <w:lang w:val="es-MX"/>
        </w:rPr>
      </w:pPr>
    </w:p>
    <w:p w:rsidR="00C27D18" w:rsidRDefault="00C27D18" w:rsidP="00481510">
      <w:pPr>
        <w:rPr>
          <w:rFonts w:eastAsia="Calibri" w:cs="Tahoma"/>
          <w:b/>
          <w:color w:val="000000" w:themeColor="text1"/>
          <w:lang w:val="es-MX"/>
        </w:rPr>
      </w:pPr>
    </w:p>
    <w:p w:rsidR="00C27D18" w:rsidRDefault="00C27D18" w:rsidP="00481510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7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1035"/>
        <w:gridCol w:w="1478"/>
      </w:tblGrid>
      <w:tr w:rsidR="008A7ED5" w:rsidRPr="008A7ED5" w:rsidTr="008A7ED5">
        <w:trPr>
          <w:trHeight w:val="300"/>
        </w:trPr>
        <w:tc>
          <w:tcPr>
            <w:tcW w:w="72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8A7ED5" w:rsidRPr="008A7ED5" w:rsidRDefault="008A7ED5" w:rsidP="008A7ED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7ED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EUROS POR PERSONA </w:t>
            </w:r>
          </w:p>
        </w:tc>
      </w:tr>
      <w:tr w:rsidR="008A7ED5" w:rsidRPr="008A7ED5" w:rsidTr="008A7ED5">
        <w:trPr>
          <w:trHeight w:val="290"/>
        </w:trPr>
        <w:tc>
          <w:tcPr>
            <w:tcW w:w="72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8A7ED5" w:rsidRPr="008A7ED5" w:rsidRDefault="008A7ED5" w:rsidP="008A7ED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A7E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 </w:t>
            </w:r>
            <w:proofErr w:type="gramStart"/>
            <w:r w:rsidR="00D445B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  <w:r w:rsidRPr="008A7E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 (</w:t>
            </w:r>
            <w:proofErr w:type="gramEnd"/>
            <w:r w:rsidRPr="008A7E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8A7ED5" w:rsidRPr="008A7ED5" w:rsidTr="008A7ED5">
        <w:trPr>
          <w:trHeight w:val="300"/>
        </w:trPr>
        <w:tc>
          <w:tcPr>
            <w:tcW w:w="47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8A7ED5" w:rsidRPr="008A7ED5" w:rsidRDefault="008A7ED5" w:rsidP="008A7ED5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7ED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22 Agosto 2024 </w:t>
            </w:r>
            <w:proofErr w:type="gramStart"/>
            <w:r w:rsidRPr="008A7ED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-  31</w:t>
            </w:r>
            <w:proofErr w:type="gramEnd"/>
            <w:r w:rsidRPr="008A7ED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Marzo 2025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8A7ED5" w:rsidRPr="008A7ED5" w:rsidRDefault="008A7ED5" w:rsidP="008A7ED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7ED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DOBLE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FFFFCC" w:fill="000000"/>
            <w:noWrap/>
            <w:vAlign w:val="bottom"/>
            <w:hideMark/>
          </w:tcPr>
          <w:p w:rsidR="008A7ED5" w:rsidRPr="008A7ED5" w:rsidRDefault="008A7ED5" w:rsidP="008A7ED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7ED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8A7ED5" w:rsidRPr="008A7ED5" w:rsidTr="008A7ED5">
        <w:trPr>
          <w:trHeight w:val="310"/>
        </w:trPr>
        <w:tc>
          <w:tcPr>
            <w:tcW w:w="4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7ED5" w:rsidRPr="008A7ED5" w:rsidRDefault="008A7ED5" w:rsidP="008A7ED5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A7E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A7ED5" w:rsidRPr="008A7ED5" w:rsidRDefault="008A7ED5" w:rsidP="008A7ED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A7E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1390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8A7ED5" w:rsidRPr="008A7ED5" w:rsidRDefault="008A7ED5" w:rsidP="008A7ED5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A7ED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1800</w:t>
            </w:r>
          </w:p>
        </w:tc>
      </w:tr>
      <w:tr w:rsidR="008A7ED5" w:rsidRPr="008A7ED5" w:rsidTr="008A7ED5">
        <w:trPr>
          <w:trHeight w:val="290"/>
        </w:trPr>
        <w:tc>
          <w:tcPr>
            <w:tcW w:w="72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8A7ED5" w:rsidRPr="008A7ED5" w:rsidRDefault="008A7ED5" w:rsidP="008A7ED5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8A7E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8A7ED5" w:rsidRPr="008A7ED5" w:rsidTr="008A7ED5">
        <w:trPr>
          <w:trHeight w:val="300"/>
        </w:trPr>
        <w:tc>
          <w:tcPr>
            <w:tcW w:w="72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8A7ED5" w:rsidRPr="008A7ED5" w:rsidRDefault="008A7ED5" w:rsidP="008A7ED5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8A7E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A16AA7" w:rsidRDefault="00A16AA7" w:rsidP="00481510">
      <w:pPr>
        <w:rPr>
          <w:rFonts w:eastAsia="Calibri" w:cs="Tahoma"/>
          <w:b/>
          <w:color w:val="000000" w:themeColor="text1"/>
          <w:lang w:val="es-MX"/>
        </w:rPr>
      </w:pPr>
    </w:p>
    <w:p w:rsidR="00A16AA7" w:rsidRDefault="00A16AA7" w:rsidP="00481510">
      <w:pPr>
        <w:rPr>
          <w:rFonts w:eastAsia="Calibri" w:cs="Tahoma"/>
          <w:b/>
          <w:color w:val="000000" w:themeColor="text1"/>
          <w:lang w:val="es-MX"/>
        </w:rPr>
      </w:pPr>
    </w:p>
    <w:p w:rsidR="00A16AA7" w:rsidRDefault="00A16AA7" w:rsidP="00481510">
      <w:pPr>
        <w:rPr>
          <w:rFonts w:eastAsia="Calibri" w:cs="Tahoma"/>
          <w:b/>
          <w:color w:val="000000" w:themeColor="text1"/>
          <w:lang w:val="es-MX"/>
        </w:rPr>
      </w:pPr>
    </w:p>
    <w:p w:rsidR="000B2325" w:rsidRDefault="000B2325" w:rsidP="00481510">
      <w:pPr>
        <w:rPr>
          <w:rFonts w:eastAsia="Calibri" w:cs="Tahoma"/>
          <w:b/>
          <w:color w:val="000000" w:themeColor="text1"/>
          <w:lang w:val="es-MX"/>
        </w:rPr>
      </w:pPr>
    </w:p>
    <w:p w:rsidR="000B2325" w:rsidRDefault="000B2325" w:rsidP="00481510">
      <w:pPr>
        <w:rPr>
          <w:rFonts w:eastAsia="Calibri" w:cs="Tahoma"/>
          <w:b/>
          <w:color w:val="000000" w:themeColor="text1"/>
          <w:lang w:val="es-MX"/>
        </w:rPr>
      </w:pPr>
    </w:p>
    <w:p w:rsidR="000B2325" w:rsidRDefault="000B2325" w:rsidP="00481510">
      <w:pPr>
        <w:rPr>
          <w:rFonts w:eastAsia="Calibri" w:cs="Tahoma"/>
          <w:b/>
          <w:color w:val="000000" w:themeColor="text1"/>
          <w:lang w:val="es-MX"/>
        </w:rPr>
      </w:pPr>
    </w:p>
    <w:p w:rsidR="00A16AA7" w:rsidRDefault="00A16AA7" w:rsidP="00481510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6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1647"/>
        <w:gridCol w:w="2977"/>
      </w:tblGrid>
      <w:tr w:rsidR="00166F03" w:rsidRPr="00166F03" w:rsidTr="00AD0A41">
        <w:trPr>
          <w:trHeight w:val="357"/>
        </w:trPr>
        <w:tc>
          <w:tcPr>
            <w:tcW w:w="608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166F03" w:rsidRPr="00166F03" w:rsidRDefault="00166F03" w:rsidP="00166F0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66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166F03" w:rsidRPr="00166F03" w:rsidTr="000A59CB">
        <w:trPr>
          <w:trHeight w:val="357"/>
        </w:trPr>
        <w:tc>
          <w:tcPr>
            <w:tcW w:w="1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66F03" w:rsidRPr="00166F03" w:rsidRDefault="00166F03" w:rsidP="00166F0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66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66F03" w:rsidRPr="00166F03" w:rsidRDefault="00166F03" w:rsidP="00166F0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66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166F03" w:rsidRPr="00166F03" w:rsidRDefault="00166F03" w:rsidP="00166F0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66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9639E3" w:rsidRPr="004F694F" w:rsidTr="004D2B8F">
        <w:trPr>
          <w:trHeight w:val="357"/>
        </w:trPr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9E3" w:rsidRPr="00166F03" w:rsidRDefault="009639E3" w:rsidP="00166F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66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9E3" w:rsidRPr="00166F03" w:rsidRDefault="009639E3" w:rsidP="00166F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Palermo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39E3" w:rsidRPr="002861BF" w:rsidRDefault="009639E3" w:rsidP="00166F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>Mercure</w:t>
            </w:r>
          </w:p>
        </w:tc>
      </w:tr>
      <w:tr w:rsidR="009639E3" w:rsidRPr="00166F03" w:rsidTr="004D2B8F">
        <w:trPr>
          <w:trHeight w:val="374"/>
        </w:trPr>
        <w:tc>
          <w:tcPr>
            <w:tcW w:w="14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39E3" w:rsidRPr="002861BF" w:rsidRDefault="009639E3" w:rsidP="00166F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9E3" w:rsidRPr="00166F03" w:rsidRDefault="009639E3" w:rsidP="00166F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Agrigento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39E3" w:rsidRPr="00166F03" w:rsidRDefault="009639E3" w:rsidP="00166F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Della Valle</w:t>
            </w:r>
          </w:p>
        </w:tc>
      </w:tr>
      <w:tr w:rsidR="009639E3" w:rsidRPr="00166F03" w:rsidTr="004D2B8F">
        <w:trPr>
          <w:trHeight w:val="357"/>
        </w:trPr>
        <w:tc>
          <w:tcPr>
            <w:tcW w:w="14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39E3" w:rsidRPr="00166F03" w:rsidRDefault="009639E3" w:rsidP="00166F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9E3" w:rsidRPr="00166F03" w:rsidRDefault="009639E3" w:rsidP="00166F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Ragusa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39E3" w:rsidRPr="00166F03" w:rsidRDefault="009639E3" w:rsidP="00166F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Poggio del Sole</w:t>
            </w:r>
          </w:p>
        </w:tc>
      </w:tr>
      <w:tr w:rsidR="009639E3" w:rsidRPr="00166F03" w:rsidTr="004D2B8F">
        <w:trPr>
          <w:trHeight w:val="357"/>
        </w:trPr>
        <w:tc>
          <w:tcPr>
            <w:tcW w:w="14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E3" w:rsidRPr="00166F03" w:rsidRDefault="009639E3" w:rsidP="00166F0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639E3" w:rsidRPr="00166F03" w:rsidRDefault="009639E3" w:rsidP="00166F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Taormina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39E3" w:rsidRPr="00166F03" w:rsidRDefault="009639E3" w:rsidP="00166F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Hotel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Splendid</w:t>
            </w:r>
            <w:proofErr w:type="spellEnd"/>
          </w:p>
        </w:tc>
      </w:tr>
    </w:tbl>
    <w:p w:rsidR="002861BF" w:rsidRDefault="002861BF" w:rsidP="00481510">
      <w:pPr>
        <w:rPr>
          <w:rFonts w:eastAsia="Calibri" w:cs="Tahoma"/>
          <w:b/>
          <w:color w:val="000000" w:themeColor="text1"/>
          <w:lang w:val="es-MX"/>
        </w:rPr>
      </w:pPr>
    </w:p>
    <w:p w:rsidR="00481510" w:rsidRDefault="00481510" w:rsidP="00481510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481510" w:rsidRDefault="00481510" w:rsidP="00481510">
      <w:pPr>
        <w:rPr>
          <w:rFonts w:eastAsia="Calibri" w:cs="Tahoma"/>
          <w:b/>
          <w:color w:val="000000" w:themeColor="text1"/>
        </w:rPr>
      </w:pPr>
    </w:p>
    <w:p w:rsidR="00481510" w:rsidRPr="00FC19E4" w:rsidRDefault="00481510" w:rsidP="0048151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481510" w:rsidRPr="00FC19E4" w:rsidRDefault="00481510" w:rsidP="0048151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481510" w:rsidRPr="00FC19E4" w:rsidRDefault="00481510" w:rsidP="0048151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 xml:space="preserve">. Su ejecutivo </w:t>
      </w:r>
      <w:r>
        <w:rPr>
          <w:rStyle w:val="Textoennegrita"/>
          <w:sz w:val="20"/>
          <w:szCs w:val="20"/>
        </w:rPr>
        <w:t xml:space="preserve">de </w:t>
      </w:r>
      <w:proofErr w:type="spellStart"/>
      <w:r>
        <w:rPr>
          <w:rStyle w:val="Textoennegrita"/>
          <w:sz w:val="20"/>
          <w:szCs w:val="20"/>
        </w:rPr>
        <w:t>JuliàTours</w:t>
      </w:r>
      <w:proofErr w:type="spellEnd"/>
      <w:r>
        <w:rPr>
          <w:rStyle w:val="Textoennegrita"/>
          <w:sz w:val="20"/>
          <w:szCs w:val="20"/>
        </w:rPr>
        <w:t xml:space="preserve"> </w:t>
      </w:r>
      <w:r w:rsidRPr="00FC19E4">
        <w:rPr>
          <w:rStyle w:val="Textoennegrita"/>
          <w:sz w:val="20"/>
          <w:szCs w:val="20"/>
        </w:rPr>
        <w:t xml:space="preserve">puede informarle.  </w:t>
      </w:r>
    </w:p>
    <w:p w:rsidR="00481510" w:rsidRPr="00FC19E4" w:rsidRDefault="00481510" w:rsidP="0048151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481510" w:rsidRDefault="00481510" w:rsidP="00481510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</w:p>
    <w:p w:rsidR="00481510" w:rsidRPr="00FC19E4" w:rsidRDefault="00481510" w:rsidP="00481510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481510" w:rsidRDefault="00481510" w:rsidP="00481510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 w:rsidRPr="006A28FF">
        <w:rPr>
          <w:sz w:val="20"/>
          <w:szCs w:val="20"/>
        </w:rPr>
        <w:t xml:space="preserve">Los traslados están considerados en horario diurno y para un mínimo de dos personas, en horario nocturno (22hrs-06hrs) y/o viajando un solo pasajero se deberá pagar un suplemento. </w:t>
      </w:r>
    </w:p>
    <w:p w:rsidR="00481510" w:rsidRDefault="00481510" w:rsidP="00481510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niños mayores de </w:t>
      </w:r>
      <w:r w:rsidR="00166F03">
        <w:rPr>
          <w:sz w:val="20"/>
          <w:szCs w:val="20"/>
        </w:rPr>
        <w:t>6</w:t>
      </w:r>
      <w:r>
        <w:rPr>
          <w:sz w:val="20"/>
          <w:szCs w:val="20"/>
        </w:rPr>
        <w:t xml:space="preserve"> años pagan como adulto. </w:t>
      </w:r>
    </w:p>
    <w:p w:rsidR="00481510" w:rsidRDefault="00481510" w:rsidP="00481510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 w:rsidRPr="00330F9E">
        <w:rPr>
          <w:sz w:val="20"/>
          <w:szCs w:val="20"/>
        </w:rPr>
        <w:t xml:space="preserve">Pueden entrar solo tres personas solamente en la habitación, (3adt o 2adt +1mnr) </w:t>
      </w:r>
    </w:p>
    <w:p w:rsidR="004F694F" w:rsidRDefault="004F694F" w:rsidP="004F694F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 w:rsidRPr="009644C9">
        <w:rPr>
          <w:sz w:val="20"/>
          <w:szCs w:val="20"/>
        </w:rPr>
        <w:t>Habitaciones triples solo bajo petición y sujetas a disponibilidad hasta confirmación. Consideramos habitación triple, una habitación doble con una cama matrimonial y una cama adicional/sofá que en ocasiones no tiene el mismo tamaño ni ofrece la misma comodidad.</w:t>
      </w:r>
    </w:p>
    <w:p w:rsidR="004F694F" w:rsidRDefault="004F694F" w:rsidP="004F694F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 w:rsidRPr="00B768F4">
        <w:rPr>
          <w:sz w:val="20"/>
          <w:szCs w:val="20"/>
        </w:rPr>
        <w:t>Hoteles son previstos o similares, sujetos a cambios en cualquier momento aun estando en el destino, sin reembolso o compensación.</w:t>
      </w:r>
    </w:p>
    <w:p w:rsidR="000D006C" w:rsidRDefault="000D006C" w:rsidP="000D006C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0D006C" w:rsidRPr="000D006C" w:rsidRDefault="000D006C" w:rsidP="000D006C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Impuesto municipal de alojamiento, el cual se paga directamente en el Hotel.</w:t>
      </w:r>
    </w:p>
    <w:p w:rsidR="00FA17CE" w:rsidRPr="00FA17CE" w:rsidRDefault="00057852" w:rsidP="00FA17CE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  <w:rPr>
          <w:sz w:val="20"/>
          <w:szCs w:val="20"/>
        </w:rPr>
      </w:pPr>
      <w:r w:rsidRPr="00057852">
        <w:rPr>
          <w:sz w:val="20"/>
          <w:szCs w:val="20"/>
        </w:rPr>
        <w:t>Por motivos organizativos el itinerario puede ser modificado o invertido</w:t>
      </w:r>
      <w:r>
        <w:rPr>
          <w:sz w:val="20"/>
          <w:szCs w:val="20"/>
        </w:rPr>
        <w:t xml:space="preserve"> </w:t>
      </w:r>
      <w:r w:rsidRPr="00057852">
        <w:rPr>
          <w:sz w:val="20"/>
          <w:szCs w:val="20"/>
        </w:rPr>
        <w:t>sin previo aviso.</w:t>
      </w:r>
    </w:p>
    <w:p w:rsidR="00FA17CE" w:rsidRPr="00842D63" w:rsidRDefault="00FA17CE" w:rsidP="00FA17CE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bCs/>
          <w:sz w:val="20"/>
          <w:szCs w:val="20"/>
        </w:rPr>
      </w:pPr>
      <w:r w:rsidRPr="00842D63">
        <w:rPr>
          <w:bCs/>
          <w:sz w:val="20"/>
          <w:szCs w:val="20"/>
        </w:rPr>
        <w:t>Precios sujetos a cambios sin previo aviso, no reembolsable.</w:t>
      </w:r>
    </w:p>
    <w:sectPr w:rsidR="00FA17CE" w:rsidRPr="00842D63" w:rsidSect="007902AE">
      <w:headerReference w:type="default" r:id="rId7"/>
      <w:pgSz w:w="12240" w:h="15840"/>
      <w:pgMar w:top="567" w:right="387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5AFF" w:rsidRDefault="00475AFF" w:rsidP="00A771DB">
      <w:r>
        <w:separator/>
      </w:r>
    </w:p>
  </w:endnote>
  <w:endnote w:type="continuationSeparator" w:id="0">
    <w:p w:rsidR="00475AFF" w:rsidRDefault="00475AFF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5AFF" w:rsidRDefault="00475AFF" w:rsidP="00A771DB">
      <w:r>
        <w:separator/>
      </w:r>
    </w:p>
  </w:footnote>
  <w:footnote w:type="continuationSeparator" w:id="0">
    <w:p w:rsidR="00475AFF" w:rsidRDefault="00475AFF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5EBC" w:rsidRDefault="00365EB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23B3C95" wp14:editId="758FEC2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65032" cy="10175240"/>
          <wp:effectExtent l="0" t="0" r="3175" b="0"/>
          <wp:wrapNone/>
          <wp:docPr id="37" name="Imagen 37" descr="Interfaz de usuario gráfica, Aplicación, PowerPoint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nterfaz de usuario gráfica, Aplicación, PowerPoint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032" cy="1017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460EF"/>
    <w:multiLevelType w:val="hybridMultilevel"/>
    <w:tmpl w:val="F9CE10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F0CEC"/>
    <w:multiLevelType w:val="hybridMultilevel"/>
    <w:tmpl w:val="BD5AB5E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58411549">
    <w:abstractNumId w:val="0"/>
  </w:num>
  <w:num w:numId="2" w16cid:durableId="942810927">
    <w:abstractNumId w:val="1"/>
  </w:num>
  <w:num w:numId="3" w16cid:durableId="369498615">
    <w:abstractNumId w:val="3"/>
  </w:num>
  <w:num w:numId="4" w16cid:durableId="1327319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1763D"/>
    <w:rsid w:val="00057852"/>
    <w:rsid w:val="00062B16"/>
    <w:rsid w:val="00064EE6"/>
    <w:rsid w:val="00083E9A"/>
    <w:rsid w:val="000A59CB"/>
    <w:rsid w:val="000B2325"/>
    <w:rsid w:val="000B2F99"/>
    <w:rsid w:val="000B550E"/>
    <w:rsid w:val="000C51EB"/>
    <w:rsid w:val="000D006C"/>
    <w:rsid w:val="000D52A4"/>
    <w:rsid w:val="001023AA"/>
    <w:rsid w:val="00106559"/>
    <w:rsid w:val="00112B59"/>
    <w:rsid w:val="00124C97"/>
    <w:rsid w:val="00161AAF"/>
    <w:rsid w:val="00166F03"/>
    <w:rsid w:val="001B76CB"/>
    <w:rsid w:val="001C56F5"/>
    <w:rsid w:val="001C6B23"/>
    <w:rsid w:val="001C73C0"/>
    <w:rsid w:val="001D1C56"/>
    <w:rsid w:val="001D78CB"/>
    <w:rsid w:val="001F325C"/>
    <w:rsid w:val="002064C7"/>
    <w:rsid w:val="00227D30"/>
    <w:rsid w:val="00241F19"/>
    <w:rsid w:val="00244D2E"/>
    <w:rsid w:val="00265C6E"/>
    <w:rsid w:val="00277B30"/>
    <w:rsid w:val="002846A2"/>
    <w:rsid w:val="002861BF"/>
    <w:rsid w:val="00287A20"/>
    <w:rsid w:val="002A126A"/>
    <w:rsid w:val="002C5D7F"/>
    <w:rsid w:val="0030708E"/>
    <w:rsid w:val="00347D6E"/>
    <w:rsid w:val="0035095A"/>
    <w:rsid w:val="00353CA2"/>
    <w:rsid w:val="00365EBC"/>
    <w:rsid w:val="003660E3"/>
    <w:rsid w:val="00367DEB"/>
    <w:rsid w:val="00383B59"/>
    <w:rsid w:val="00384662"/>
    <w:rsid w:val="00391E59"/>
    <w:rsid w:val="003A009D"/>
    <w:rsid w:val="003A6C31"/>
    <w:rsid w:val="003B3DF1"/>
    <w:rsid w:val="003B7DFF"/>
    <w:rsid w:val="003C3A9C"/>
    <w:rsid w:val="003C727A"/>
    <w:rsid w:val="003E34D3"/>
    <w:rsid w:val="003E57BB"/>
    <w:rsid w:val="003F6F51"/>
    <w:rsid w:val="0042021F"/>
    <w:rsid w:val="004263BF"/>
    <w:rsid w:val="004328E8"/>
    <w:rsid w:val="00440AB2"/>
    <w:rsid w:val="00453719"/>
    <w:rsid w:val="00457023"/>
    <w:rsid w:val="00465E57"/>
    <w:rsid w:val="0047491B"/>
    <w:rsid w:val="00474F91"/>
    <w:rsid w:val="00475AFF"/>
    <w:rsid w:val="00481510"/>
    <w:rsid w:val="004839F1"/>
    <w:rsid w:val="00490614"/>
    <w:rsid w:val="004A5A33"/>
    <w:rsid w:val="004A7C9C"/>
    <w:rsid w:val="004A7D23"/>
    <w:rsid w:val="004D2F78"/>
    <w:rsid w:val="004D4EA5"/>
    <w:rsid w:val="004F694F"/>
    <w:rsid w:val="00521316"/>
    <w:rsid w:val="00525BFC"/>
    <w:rsid w:val="00536E5F"/>
    <w:rsid w:val="00543D77"/>
    <w:rsid w:val="0055326B"/>
    <w:rsid w:val="0056160B"/>
    <w:rsid w:val="00570255"/>
    <w:rsid w:val="00571AF3"/>
    <w:rsid w:val="00577ABD"/>
    <w:rsid w:val="005B3922"/>
    <w:rsid w:val="005C47B2"/>
    <w:rsid w:val="005C6A41"/>
    <w:rsid w:val="005D4FDA"/>
    <w:rsid w:val="005E2C04"/>
    <w:rsid w:val="005E4B89"/>
    <w:rsid w:val="00613E12"/>
    <w:rsid w:val="00633A79"/>
    <w:rsid w:val="00642E27"/>
    <w:rsid w:val="00675D68"/>
    <w:rsid w:val="00676F5C"/>
    <w:rsid w:val="006B6C37"/>
    <w:rsid w:val="006C30FD"/>
    <w:rsid w:val="006C3803"/>
    <w:rsid w:val="006D4A8B"/>
    <w:rsid w:val="007104B3"/>
    <w:rsid w:val="00713810"/>
    <w:rsid w:val="00717C23"/>
    <w:rsid w:val="00720B5D"/>
    <w:rsid w:val="00724DC3"/>
    <w:rsid w:val="00731EB2"/>
    <w:rsid w:val="00746016"/>
    <w:rsid w:val="00755B44"/>
    <w:rsid w:val="00762F07"/>
    <w:rsid w:val="00766464"/>
    <w:rsid w:val="0077348D"/>
    <w:rsid w:val="00774096"/>
    <w:rsid w:val="00781FF6"/>
    <w:rsid w:val="00785F89"/>
    <w:rsid w:val="007902AE"/>
    <w:rsid w:val="007B1551"/>
    <w:rsid w:val="007C0CBB"/>
    <w:rsid w:val="007C5B04"/>
    <w:rsid w:val="007D298D"/>
    <w:rsid w:val="007E212F"/>
    <w:rsid w:val="007F7040"/>
    <w:rsid w:val="008077B5"/>
    <w:rsid w:val="008426E6"/>
    <w:rsid w:val="0085580B"/>
    <w:rsid w:val="00876A40"/>
    <w:rsid w:val="00894097"/>
    <w:rsid w:val="008951B6"/>
    <w:rsid w:val="008A79A2"/>
    <w:rsid w:val="008A7ED5"/>
    <w:rsid w:val="008B0B9D"/>
    <w:rsid w:val="008B49FB"/>
    <w:rsid w:val="008B6328"/>
    <w:rsid w:val="008D6BB7"/>
    <w:rsid w:val="008D7DED"/>
    <w:rsid w:val="008E046F"/>
    <w:rsid w:val="008F39E8"/>
    <w:rsid w:val="009135C2"/>
    <w:rsid w:val="00915A53"/>
    <w:rsid w:val="00942501"/>
    <w:rsid w:val="00944A47"/>
    <w:rsid w:val="009542C3"/>
    <w:rsid w:val="009639E3"/>
    <w:rsid w:val="00966393"/>
    <w:rsid w:val="009737E6"/>
    <w:rsid w:val="00993F8F"/>
    <w:rsid w:val="009A2868"/>
    <w:rsid w:val="009B23AE"/>
    <w:rsid w:val="009C775C"/>
    <w:rsid w:val="009D22A4"/>
    <w:rsid w:val="009E27A9"/>
    <w:rsid w:val="009E2D3D"/>
    <w:rsid w:val="009E4F05"/>
    <w:rsid w:val="009F3030"/>
    <w:rsid w:val="009F35B4"/>
    <w:rsid w:val="00A07C05"/>
    <w:rsid w:val="00A1019B"/>
    <w:rsid w:val="00A16AA7"/>
    <w:rsid w:val="00A20513"/>
    <w:rsid w:val="00A227CF"/>
    <w:rsid w:val="00A35E41"/>
    <w:rsid w:val="00A478D9"/>
    <w:rsid w:val="00A548DE"/>
    <w:rsid w:val="00A57873"/>
    <w:rsid w:val="00A72C30"/>
    <w:rsid w:val="00A75BE8"/>
    <w:rsid w:val="00A771DB"/>
    <w:rsid w:val="00A87150"/>
    <w:rsid w:val="00AB0555"/>
    <w:rsid w:val="00AB7F11"/>
    <w:rsid w:val="00AD0A41"/>
    <w:rsid w:val="00AD4AED"/>
    <w:rsid w:val="00AE1570"/>
    <w:rsid w:val="00B00F5F"/>
    <w:rsid w:val="00B05390"/>
    <w:rsid w:val="00B10848"/>
    <w:rsid w:val="00B155B8"/>
    <w:rsid w:val="00B166C7"/>
    <w:rsid w:val="00B226B9"/>
    <w:rsid w:val="00B23776"/>
    <w:rsid w:val="00B26DBA"/>
    <w:rsid w:val="00B37BA4"/>
    <w:rsid w:val="00B41511"/>
    <w:rsid w:val="00B50EA8"/>
    <w:rsid w:val="00B5444F"/>
    <w:rsid w:val="00B62FAB"/>
    <w:rsid w:val="00B65DE6"/>
    <w:rsid w:val="00B70E1C"/>
    <w:rsid w:val="00B71A0A"/>
    <w:rsid w:val="00B80554"/>
    <w:rsid w:val="00B85409"/>
    <w:rsid w:val="00B94454"/>
    <w:rsid w:val="00B94481"/>
    <w:rsid w:val="00BB448B"/>
    <w:rsid w:val="00BE24A6"/>
    <w:rsid w:val="00BF297F"/>
    <w:rsid w:val="00C068AC"/>
    <w:rsid w:val="00C121EA"/>
    <w:rsid w:val="00C140DC"/>
    <w:rsid w:val="00C17032"/>
    <w:rsid w:val="00C17F50"/>
    <w:rsid w:val="00C21843"/>
    <w:rsid w:val="00C27D18"/>
    <w:rsid w:val="00C314DD"/>
    <w:rsid w:val="00C433F2"/>
    <w:rsid w:val="00C43CDB"/>
    <w:rsid w:val="00C62837"/>
    <w:rsid w:val="00C64077"/>
    <w:rsid w:val="00C64787"/>
    <w:rsid w:val="00C67CD4"/>
    <w:rsid w:val="00C84034"/>
    <w:rsid w:val="00C91BCC"/>
    <w:rsid w:val="00CB0056"/>
    <w:rsid w:val="00CC3359"/>
    <w:rsid w:val="00CC50D5"/>
    <w:rsid w:val="00CD5330"/>
    <w:rsid w:val="00CE29FC"/>
    <w:rsid w:val="00CE640A"/>
    <w:rsid w:val="00CE7259"/>
    <w:rsid w:val="00CF662D"/>
    <w:rsid w:val="00D20843"/>
    <w:rsid w:val="00D22984"/>
    <w:rsid w:val="00D2377E"/>
    <w:rsid w:val="00D345FF"/>
    <w:rsid w:val="00D34C83"/>
    <w:rsid w:val="00D40766"/>
    <w:rsid w:val="00D445BE"/>
    <w:rsid w:val="00D635E6"/>
    <w:rsid w:val="00D6490B"/>
    <w:rsid w:val="00D775A6"/>
    <w:rsid w:val="00D87960"/>
    <w:rsid w:val="00D90BD6"/>
    <w:rsid w:val="00D93742"/>
    <w:rsid w:val="00DA00F6"/>
    <w:rsid w:val="00DA56A0"/>
    <w:rsid w:val="00DB5703"/>
    <w:rsid w:val="00DC1047"/>
    <w:rsid w:val="00DC3158"/>
    <w:rsid w:val="00DF57AC"/>
    <w:rsid w:val="00E10655"/>
    <w:rsid w:val="00E13530"/>
    <w:rsid w:val="00E210B1"/>
    <w:rsid w:val="00E211AC"/>
    <w:rsid w:val="00E23398"/>
    <w:rsid w:val="00E270EB"/>
    <w:rsid w:val="00E32650"/>
    <w:rsid w:val="00E36C80"/>
    <w:rsid w:val="00E50F7C"/>
    <w:rsid w:val="00E635F3"/>
    <w:rsid w:val="00E642C6"/>
    <w:rsid w:val="00E71360"/>
    <w:rsid w:val="00E844D7"/>
    <w:rsid w:val="00E92725"/>
    <w:rsid w:val="00E937FD"/>
    <w:rsid w:val="00E943AC"/>
    <w:rsid w:val="00E944E9"/>
    <w:rsid w:val="00EA7D6F"/>
    <w:rsid w:val="00EC78EF"/>
    <w:rsid w:val="00EE1B4E"/>
    <w:rsid w:val="00EE3D26"/>
    <w:rsid w:val="00EE5A2C"/>
    <w:rsid w:val="00EF252F"/>
    <w:rsid w:val="00F423CB"/>
    <w:rsid w:val="00F55A37"/>
    <w:rsid w:val="00F70127"/>
    <w:rsid w:val="00FA17CE"/>
    <w:rsid w:val="00FB3B90"/>
    <w:rsid w:val="00FC7956"/>
    <w:rsid w:val="00FD1D4B"/>
    <w:rsid w:val="00FE3C66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09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465E57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465E57"/>
    <w:rPr>
      <w:b/>
      <w:bCs/>
    </w:rPr>
  </w:style>
  <w:style w:type="paragraph" w:styleId="Sinespaciado">
    <w:name w:val="No Spacing"/>
    <w:uiPriority w:val="1"/>
    <w:qFormat/>
    <w:rsid w:val="003C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dcterms:created xsi:type="dcterms:W3CDTF">2024-08-14T22:42:00Z</dcterms:created>
  <dcterms:modified xsi:type="dcterms:W3CDTF">2024-08-14T22:42:00Z</dcterms:modified>
</cp:coreProperties>
</file>