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7B" w:rsidRDefault="00275A98" w:rsidP="00D00A3D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Alemania de Ensueño</w:t>
      </w:r>
    </w:p>
    <w:p w:rsidR="008A250B" w:rsidRDefault="008A250B" w:rsidP="00D00A3D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2024</w:t>
      </w:r>
    </w:p>
    <w:p w:rsidR="00D00A3D" w:rsidRDefault="00EC3E7B" w:rsidP="00D00A3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</w:t>
      </w:r>
      <w:r w:rsidR="00D00A3D">
        <w:rPr>
          <w:b/>
          <w:sz w:val="32"/>
          <w:szCs w:val="32"/>
          <w:lang w:val="es-ES"/>
        </w:rPr>
        <w:t xml:space="preserve"> </w:t>
      </w:r>
      <w:r w:rsidR="00D00A3D"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6</w:t>
      </w:r>
      <w:r w:rsidR="00D00A3D">
        <w:rPr>
          <w:b/>
          <w:sz w:val="32"/>
          <w:szCs w:val="32"/>
          <w:lang w:val="es-ES"/>
        </w:rPr>
        <w:t xml:space="preserve"> </w:t>
      </w:r>
      <w:r w:rsidR="00D00A3D" w:rsidRPr="00883B24">
        <w:rPr>
          <w:b/>
          <w:sz w:val="32"/>
          <w:szCs w:val="32"/>
          <w:lang w:val="es-ES"/>
        </w:rPr>
        <w:t>noches</w:t>
      </w:r>
    </w:p>
    <w:p w:rsidR="00D00A3D" w:rsidRDefault="00D00A3D" w:rsidP="00D00A3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8851D3" w:rsidRPr="00174F08" w:rsidRDefault="008851D3" w:rsidP="008851D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174F08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Llegadas:</w:t>
      </w:r>
      <w:r w:rsidR="00521F04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Específicas </w:t>
      </w:r>
    </w:p>
    <w:p w:rsidR="00991BBF" w:rsidRPr="00991BBF" w:rsidRDefault="00991BBF" w:rsidP="00991BBF">
      <w:pPr>
        <w:jc w:val="both"/>
        <w:rPr>
          <w:b/>
          <w:sz w:val="20"/>
          <w:szCs w:val="20"/>
          <w:lang w:val="es-MX"/>
        </w:rPr>
      </w:pPr>
    </w:p>
    <w:p w:rsidR="00991BBF" w:rsidRPr="00991BBF" w:rsidRDefault="00991BBF" w:rsidP="00991BBF">
      <w:pPr>
        <w:jc w:val="both"/>
        <w:rPr>
          <w:b/>
          <w:sz w:val="20"/>
          <w:szCs w:val="20"/>
          <w:lang w:val="es-MX"/>
        </w:rPr>
      </w:pPr>
      <w:r w:rsidRPr="00991BBF">
        <w:rPr>
          <w:b/>
          <w:sz w:val="20"/>
          <w:szCs w:val="20"/>
          <w:lang w:val="es-MX"/>
        </w:rPr>
        <w:t xml:space="preserve">Día 1. Frankfurt </w:t>
      </w:r>
    </w:p>
    <w:p w:rsidR="00991BBF" w:rsidRPr="00991BBF" w:rsidRDefault="00991BBF" w:rsidP="00991BBF">
      <w:pPr>
        <w:jc w:val="both"/>
        <w:rPr>
          <w:sz w:val="20"/>
          <w:szCs w:val="20"/>
          <w:lang w:val="es-MX"/>
        </w:rPr>
      </w:pPr>
      <w:r w:rsidRPr="00991BBF">
        <w:rPr>
          <w:sz w:val="20"/>
          <w:szCs w:val="20"/>
          <w:lang w:val="es-MX"/>
        </w:rPr>
        <w:t>Llegada al aeropuerto de Frankfurt y traslado al hotel. Resto del día libre a su disposición. Frankfurt, el centro financiero y comercial de Alemania, está marcada por sus fascina</w:t>
      </w:r>
      <w:r w:rsidR="008A250B">
        <w:rPr>
          <w:sz w:val="20"/>
          <w:szCs w:val="20"/>
          <w:lang w:val="es-MX"/>
        </w:rPr>
        <w:t>ntes contrastes entre lo moder</w:t>
      </w:r>
      <w:r w:rsidRPr="00991BBF">
        <w:rPr>
          <w:sz w:val="20"/>
          <w:szCs w:val="20"/>
          <w:lang w:val="es-MX"/>
        </w:rPr>
        <w:t xml:space="preserve">no </w:t>
      </w:r>
      <w:r w:rsidR="008A250B">
        <w:rPr>
          <w:sz w:val="20"/>
          <w:szCs w:val="20"/>
          <w:lang w:val="es-MX"/>
        </w:rPr>
        <w:t xml:space="preserve">y lo histórico. </w:t>
      </w:r>
      <w:r w:rsidR="008A250B" w:rsidRPr="008A250B">
        <w:rPr>
          <w:b/>
          <w:sz w:val="20"/>
          <w:szCs w:val="20"/>
          <w:lang w:val="es-MX"/>
        </w:rPr>
        <w:t>Alojamiento.</w:t>
      </w:r>
    </w:p>
    <w:p w:rsidR="008A250B" w:rsidRPr="00AF4FE6" w:rsidRDefault="008A250B" w:rsidP="00E503FB">
      <w:pPr>
        <w:jc w:val="both"/>
        <w:rPr>
          <w:rFonts w:cstheme="minorHAnsi"/>
          <w:b/>
          <w:sz w:val="20"/>
          <w:szCs w:val="20"/>
        </w:rPr>
      </w:pPr>
    </w:p>
    <w:p w:rsidR="00AF4FE6" w:rsidRPr="00AF4FE6" w:rsidRDefault="00AF4FE6" w:rsidP="00E503FB">
      <w:pPr>
        <w:jc w:val="both"/>
        <w:rPr>
          <w:rFonts w:cstheme="minorHAnsi"/>
          <w:b/>
          <w:sz w:val="20"/>
          <w:szCs w:val="20"/>
        </w:rPr>
      </w:pPr>
      <w:r w:rsidRPr="00AF4FE6">
        <w:rPr>
          <w:rFonts w:cstheme="minorHAnsi"/>
          <w:b/>
          <w:sz w:val="20"/>
          <w:szCs w:val="20"/>
        </w:rPr>
        <w:t xml:space="preserve">Día 2. Frankfurt - Heidelberg - Friburgo </w:t>
      </w:r>
    </w:p>
    <w:p w:rsidR="008A250B" w:rsidRPr="00AF4FE6" w:rsidRDefault="00AF4FE6" w:rsidP="00E503FB">
      <w:pPr>
        <w:jc w:val="both"/>
        <w:rPr>
          <w:rFonts w:cstheme="minorHAnsi"/>
          <w:sz w:val="20"/>
          <w:szCs w:val="20"/>
        </w:rPr>
      </w:pPr>
      <w:r w:rsidRPr="00B671F8">
        <w:rPr>
          <w:rFonts w:cstheme="minorHAnsi"/>
          <w:b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</w:t>
      </w:r>
      <w:r w:rsidRPr="00AF4FE6">
        <w:rPr>
          <w:rFonts w:cstheme="minorHAnsi"/>
          <w:sz w:val="20"/>
          <w:szCs w:val="20"/>
        </w:rPr>
        <w:t>Por la mañana traslado a la ciudad de Heidelberg para visitar su famoso castillo. Luego paseo</w:t>
      </w:r>
      <w:r w:rsidR="00B671F8">
        <w:rPr>
          <w:rFonts w:cstheme="minorHAnsi"/>
          <w:sz w:val="20"/>
          <w:szCs w:val="20"/>
        </w:rPr>
        <w:t xml:space="preserve"> por el centro antiguo. Heidel</w:t>
      </w:r>
      <w:r w:rsidRPr="00AF4FE6">
        <w:rPr>
          <w:rFonts w:cstheme="minorHAnsi"/>
          <w:sz w:val="20"/>
          <w:szCs w:val="20"/>
        </w:rPr>
        <w:t xml:space="preserve">berg, la ciudad universitaria más antigua de Alemania, es uno de los lugares más visitados debido a su idílica ubicación a las orillas del río Neckar. El viaje continúa por la ruta alta de la Selva Negra, </w:t>
      </w:r>
      <w:r w:rsidR="00B671F8">
        <w:rPr>
          <w:rFonts w:cstheme="minorHAnsi"/>
          <w:sz w:val="20"/>
          <w:szCs w:val="20"/>
        </w:rPr>
        <w:t>disfrute de los paisajes impre</w:t>
      </w:r>
      <w:r w:rsidRPr="00AF4FE6">
        <w:rPr>
          <w:rFonts w:cstheme="minorHAnsi"/>
          <w:sz w:val="20"/>
          <w:szCs w:val="20"/>
        </w:rPr>
        <w:t>sionantes. Llegada a Friburgo y breve visita d</w:t>
      </w:r>
      <w:r w:rsidR="00B671F8">
        <w:rPr>
          <w:rFonts w:cstheme="minorHAnsi"/>
          <w:sz w:val="20"/>
          <w:szCs w:val="20"/>
        </w:rPr>
        <w:t xml:space="preserve">e la ciudad. </w:t>
      </w:r>
      <w:r w:rsidR="00B671F8" w:rsidRPr="00B671F8">
        <w:rPr>
          <w:rFonts w:cstheme="minorHAnsi"/>
          <w:b/>
          <w:sz w:val="20"/>
          <w:szCs w:val="20"/>
        </w:rPr>
        <w:t>Alojamiento.</w:t>
      </w:r>
    </w:p>
    <w:p w:rsidR="002C0A27" w:rsidRDefault="002C0A27" w:rsidP="000734AA">
      <w:pPr>
        <w:jc w:val="both"/>
        <w:rPr>
          <w:rFonts w:cstheme="minorHAnsi"/>
          <w:sz w:val="20"/>
          <w:szCs w:val="20"/>
        </w:rPr>
      </w:pPr>
    </w:p>
    <w:p w:rsidR="000734AA" w:rsidRPr="00F00CF5" w:rsidRDefault="002C0A27" w:rsidP="000734AA">
      <w:pPr>
        <w:jc w:val="both"/>
        <w:rPr>
          <w:rFonts w:cstheme="minorHAnsi"/>
          <w:b/>
          <w:sz w:val="20"/>
          <w:szCs w:val="20"/>
        </w:rPr>
      </w:pPr>
      <w:r w:rsidRPr="00F00CF5">
        <w:rPr>
          <w:rFonts w:cstheme="minorHAnsi"/>
          <w:b/>
          <w:sz w:val="20"/>
          <w:szCs w:val="20"/>
        </w:rPr>
        <w:t xml:space="preserve">Día 3. </w:t>
      </w:r>
      <w:r w:rsidR="000734AA" w:rsidRPr="00F00CF5">
        <w:rPr>
          <w:rFonts w:cstheme="minorHAnsi"/>
          <w:b/>
          <w:sz w:val="20"/>
          <w:szCs w:val="20"/>
        </w:rPr>
        <w:t xml:space="preserve">Friburgo - </w:t>
      </w:r>
      <w:proofErr w:type="spellStart"/>
      <w:r w:rsidR="000734AA" w:rsidRPr="00F00CF5">
        <w:rPr>
          <w:rFonts w:cstheme="minorHAnsi"/>
          <w:b/>
          <w:sz w:val="20"/>
          <w:szCs w:val="20"/>
        </w:rPr>
        <w:t>Lindau</w:t>
      </w:r>
      <w:proofErr w:type="spellEnd"/>
      <w:r w:rsidR="000734AA" w:rsidRPr="00F00CF5">
        <w:rPr>
          <w:rFonts w:cstheme="minorHAnsi"/>
          <w:b/>
          <w:sz w:val="20"/>
          <w:szCs w:val="20"/>
        </w:rPr>
        <w:t xml:space="preserve"> - </w:t>
      </w:r>
      <w:proofErr w:type="spellStart"/>
      <w:r w:rsidR="000734AA" w:rsidRPr="00F00CF5">
        <w:rPr>
          <w:rFonts w:cstheme="minorHAnsi"/>
          <w:b/>
          <w:sz w:val="20"/>
          <w:szCs w:val="20"/>
        </w:rPr>
        <w:t>Kempten</w:t>
      </w:r>
      <w:proofErr w:type="spellEnd"/>
      <w:r w:rsidR="000734AA" w:rsidRPr="00F00CF5">
        <w:rPr>
          <w:rFonts w:cstheme="minorHAnsi"/>
          <w:b/>
          <w:sz w:val="20"/>
          <w:szCs w:val="20"/>
        </w:rPr>
        <w:t xml:space="preserve"> </w:t>
      </w:r>
    </w:p>
    <w:p w:rsidR="000734AA" w:rsidRPr="000734AA" w:rsidRDefault="00F00CF5" w:rsidP="000734AA">
      <w:pPr>
        <w:jc w:val="both"/>
        <w:rPr>
          <w:rFonts w:cstheme="minorHAnsi"/>
          <w:sz w:val="20"/>
          <w:szCs w:val="20"/>
        </w:rPr>
      </w:pPr>
      <w:r w:rsidRPr="00F00CF5">
        <w:rPr>
          <w:rFonts w:cstheme="minorHAnsi"/>
          <w:b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</w:t>
      </w:r>
      <w:r w:rsidR="000734AA" w:rsidRPr="000734AA">
        <w:rPr>
          <w:rFonts w:cstheme="minorHAnsi"/>
          <w:sz w:val="20"/>
          <w:szCs w:val="20"/>
        </w:rPr>
        <w:t>En la mañana visitará una pequeña y tradicional g</w:t>
      </w:r>
      <w:r w:rsidR="00546874">
        <w:rPr>
          <w:rFonts w:cstheme="minorHAnsi"/>
          <w:sz w:val="20"/>
          <w:szCs w:val="20"/>
        </w:rPr>
        <w:t>ranja donde podrá degustar que</w:t>
      </w:r>
      <w:r w:rsidR="000734AA" w:rsidRPr="000734AA">
        <w:rPr>
          <w:rFonts w:cstheme="minorHAnsi"/>
          <w:sz w:val="20"/>
          <w:szCs w:val="20"/>
        </w:rPr>
        <w:t>sos y donde puede echar un vistazo a la vida real en la Selva Negra. El viaje continua a la pequeña isla de Lindau, ubicada en el Lago Constanza, que ofrece espectaculares vistas de los Alpe</w:t>
      </w:r>
      <w:r w:rsidR="00394C44">
        <w:rPr>
          <w:rFonts w:cstheme="minorHAnsi"/>
          <w:sz w:val="20"/>
          <w:szCs w:val="20"/>
        </w:rPr>
        <w:t xml:space="preserve">s. Después viaje a </w:t>
      </w:r>
      <w:proofErr w:type="spellStart"/>
      <w:r w:rsidR="00394C44">
        <w:rPr>
          <w:rFonts w:cstheme="minorHAnsi"/>
          <w:sz w:val="20"/>
          <w:szCs w:val="20"/>
        </w:rPr>
        <w:t>Kempten</w:t>
      </w:r>
      <w:proofErr w:type="spellEnd"/>
      <w:r w:rsidR="00394C44">
        <w:rPr>
          <w:rFonts w:cstheme="minorHAnsi"/>
          <w:sz w:val="20"/>
          <w:szCs w:val="20"/>
        </w:rPr>
        <w:t xml:space="preserve">. </w:t>
      </w:r>
      <w:r w:rsidR="00394C44" w:rsidRPr="00394C44">
        <w:rPr>
          <w:rFonts w:cstheme="minorHAnsi"/>
          <w:b/>
          <w:sz w:val="20"/>
          <w:szCs w:val="20"/>
        </w:rPr>
        <w:t>Alo</w:t>
      </w:r>
      <w:r w:rsidR="000734AA" w:rsidRPr="00394C44">
        <w:rPr>
          <w:rFonts w:cstheme="minorHAnsi"/>
          <w:b/>
          <w:sz w:val="20"/>
          <w:szCs w:val="20"/>
        </w:rPr>
        <w:t>jami</w:t>
      </w:r>
      <w:r w:rsidR="00546874" w:rsidRPr="00394C44">
        <w:rPr>
          <w:rFonts w:cstheme="minorHAnsi"/>
          <w:b/>
          <w:sz w:val="20"/>
          <w:szCs w:val="20"/>
        </w:rPr>
        <w:t>ento.</w:t>
      </w:r>
    </w:p>
    <w:p w:rsidR="00F67FAE" w:rsidRDefault="00F67FAE" w:rsidP="00E503FB">
      <w:pPr>
        <w:jc w:val="both"/>
        <w:rPr>
          <w:rFonts w:cstheme="minorHAnsi"/>
          <w:sz w:val="20"/>
          <w:szCs w:val="20"/>
        </w:rPr>
      </w:pPr>
    </w:p>
    <w:p w:rsidR="00F67FAE" w:rsidRPr="00F67FAE" w:rsidRDefault="00F67FAE" w:rsidP="00F67FAE">
      <w:pPr>
        <w:jc w:val="both"/>
        <w:rPr>
          <w:rFonts w:cstheme="minorHAnsi"/>
          <w:b/>
          <w:sz w:val="20"/>
          <w:szCs w:val="20"/>
        </w:rPr>
      </w:pPr>
      <w:r w:rsidRPr="00F67FAE">
        <w:rPr>
          <w:rFonts w:cstheme="minorHAnsi"/>
          <w:b/>
          <w:sz w:val="20"/>
          <w:szCs w:val="20"/>
        </w:rPr>
        <w:t>Día</w:t>
      </w:r>
      <w:r w:rsidR="00594706">
        <w:rPr>
          <w:rFonts w:cstheme="minorHAnsi"/>
          <w:b/>
          <w:sz w:val="20"/>
          <w:szCs w:val="20"/>
        </w:rPr>
        <w:t xml:space="preserve"> </w:t>
      </w:r>
      <w:r w:rsidRPr="00F67FAE">
        <w:rPr>
          <w:rFonts w:cstheme="minorHAnsi"/>
          <w:b/>
          <w:sz w:val="20"/>
          <w:szCs w:val="20"/>
        </w:rPr>
        <w:t xml:space="preserve">4. </w:t>
      </w:r>
      <w:proofErr w:type="spellStart"/>
      <w:r w:rsidRPr="00F67FAE">
        <w:rPr>
          <w:rFonts w:cstheme="minorHAnsi"/>
          <w:b/>
          <w:sz w:val="20"/>
          <w:szCs w:val="20"/>
        </w:rPr>
        <w:t>Neuschwanstein</w:t>
      </w:r>
      <w:proofErr w:type="spellEnd"/>
      <w:r w:rsidRPr="00F67FAE">
        <w:rPr>
          <w:rFonts w:cstheme="minorHAnsi"/>
          <w:b/>
          <w:sz w:val="20"/>
          <w:szCs w:val="20"/>
        </w:rPr>
        <w:t xml:space="preserve"> - </w:t>
      </w:r>
      <w:proofErr w:type="spellStart"/>
      <w:r w:rsidRPr="00F67FAE">
        <w:rPr>
          <w:rFonts w:cstheme="minorHAnsi"/>
          <w:b/>
          <w:sz w:val="20"/>
          <w:szCs w:val="20"/>
        </w:rPr>
        <w:t>Oberammergau</w:t>
      </w:r>
      <w:proofErr w:type="spellEnd"/>
      <w:r w:rsidRPr="00F67FAE">
        <w:rPr>
          <w:rFonts w:cstheme="minorHAnsi"/>
          <w:b/>
          <w:sz w:val="20"/>
          <w:szCs w:val="20"/>
        </w:rPr>
        <w:t xml:space="preserve"> - </w:t>
      </w:r>
      <w:proofErr w:type="spellStart"/>
      <w:r w:rsidRPr="00F67FAE">
        <w:rPr>
          <w:rFonts w:cstheme="minorHAnsi"/>
          <w:b/>
          <w:sz w:val="20"/>
          <w:szCs w:val="20"/>
        </w:rPr>
        <w:t>Linderhof</w:t>
      </w:r>
      <w:proofErr w:type="spellEnd"/>
      <w:r w:rsidRPr="00F67FAE">
        <w:rPr>
          <w:rFonts w:cstheme="minorHAnsi"/>
          <w:b/>
          <w:sz w:val="20"/>
          <w:szCs w:val="20"/>
        </w:rPr>
        <w:t xml:space="preserve"> - Abadía de </w:t>
      </w:r>
      <w:proofErr w:type="spellStart"/>
      <w:r w:rsidRPr="00F67FAE">
        <w:rPr>
          <w:rFonts w:cstheme="minorHAnsi"/>
          <w:b/>
          <w:sz w:val="20"/>
          <w:szCs w:val="20"/>
        </w:rPr>
        <w:t>Ettal</w:t>
      </w:r>
      <w:proofErr w:type="spellEnd"/>
      <w:r w:rsidRPr="00F67FAE">
        <w:rPr>
          <w:rFonts w:cstheme="minorHAnsi"/>
          <w:b/>
          <w:sz w:val="20"/>
          <w:szCs w:val="20"/>
        </w:rPr>
        <w:t xml:space="preserve"> - Múnich </w:t>
      </w:r>
    </w:p>
    <w:p w:rsidR="000E6619" w:rsidRPr="00DB2758" w:rsidRDefault="00DE4720" w:rsidP="000E6619">
      <w:pPr>
        <w:jc w:val="both"/>
        <w:rPr>
          <w:rFonts w:cstheme="minorHAnsi"/>
          <w:b/>
          <w:sz w:val="20"/>
          <w:szCs w:val="20"/>
        </w:rPr>
      </w:pPr>
      <w:r w:rsidRPr="00DE4720">
        <w:rPr>
          <w:rFonts w:cstheme="minorHAnsi"/>
          <w:b/>
          <w:sz w:val="20"/>
          <w:szCs w:val="20"/>
        </w:rPr>
        <w:t xml:space="preserve">Desayuno. </w:t>
      </w:r>
      <w:r w:rsidR="00F67FAE" w:rsidRPr="00F40104">
        <w:rPr>
          <w:rFonts w:cstheme="minorHAnsi"/>
          <w:sz w:val="20"/>
          <w:szCs w:val="20"/>
        </w:rPr>
        <w:t xml:space="preserve">El </w:t>
      </w:r>
      <w:r w:rsidR="00F67FAE" w:rsidRPr="00F67FAE">
        <w:rPr>
          <w:rFonts w:cstheme="minorHAnsi"/>
          <w:sz w:val="20"/>
          <w:szCs w:val="20"/>
        </w:rPr>
        <w:t xml:space="preserve">día empieza con una visita al Castillo de </w:t>
      </w:r>
      <w:proofErr w:type="spellStart"/>
      <w:r w:rsidR="00F67FAE" w:rsidRPr="00F67FAE">
        <w:rPr>
          <w:rFonts w:cstheme="minorHAnsi"/>
          <w:sz w:val="20"/>
          <w:szCs w:val="20"/>
        </w:rPr>
        <w:t>Neuschwanstein</w:t>
      </w:r>
      <w:proofErr w:type="spellEnd"/>
      <w:r w:rsidR="00F67FAE" w:rsidRPr="00F67FAE">
        <w:rPr>
          <w:rFonts w:cstheme="minorHAnsi"/>
          <w:sz w:val="20"/>
          <w:szCs w:val="20"/>
        </w:rPr>
        <w:t xml:space="preserve">, construido por Luis II, el famoso “Rey Loco“. A mediodía viaje a </w:t>
      </w:r>
      <w:proofErr w:type="spellStart"/>
      <w:r w:rsidR="00F67FAE" w:rsidRPr="00F67FAE">
        <w:rPr>
          <w:rFonts w:cstheme="minorHAnsi"/>
          <w:sz w:val="20"/>
          <w:szCs w:val="20"/>
        </w:rPr>
        <w:t>O</w:t>
      </w:r>
      <w:r w:rsidR="00F40104">
        <w:rPr>
          <w:rFonts w:cstheme="minorHAnsi"/>
          <w:sz w:val="20"/>
          <w:szCs w:val="20"/>
        </w:rPr>
        <w:t>be</w:t>
      </w:r>
      <w:r w:rsidR="00F67FAE" w:rsidRPr="00F67FAE">
        <w:rPr>
          <w:rFonts w:cstheme="minorHAnsi"/>
          <w:sz w:val="20"/>
          <w:szCs w:val="20"/>
        </w:rPr>
        <w:t>rammergau</w:t>
      </w:r>
      <w:proofErr w:type="spellEnd"/>
      <w:r w:rsidR="00F67FAE" w:rsidRPr="00F67FAE">
        <w:rPr>
          <w:rFonts w:cstheme="minorHAnsi"/>
          <w:sz w:val="20"/>
          <w:szCs w:val="20"/>
        </w:rPr>
        <w:t>,</w:t>
      </w:r>
      <w:r w:rsidR="00F40104">
        <w:rPr>
          <w:rFonts w:cstheme="minorHAnsi"/>
          <w:sz w:val="20"/>
          <w:szCs w:val="20"/>
        </w:rPr>
        <w:t xml:space="preserve"> pueblo famoso por su represen</w:t>
      </w:r>
      <w:r w:rsidR="00F67FAE" w:rsidRPr="00F67FAE">
        <w:rPr>
          <w:rFonts w:cstheme="minorHAnsi"/>
          <w:sz w:val="20"/>
          <w:szCs w:val="20"/>
        </w:rPr>
        <w:t xml:space="preserve">tación de la Pasión y por su artesanía. En la tarde visita del Palacio </w:t>
      </w:r>
      <w:proofErr w:type="spellStart"/>
      <w:r w:rsidR="00F67FAE" w:rsidRPr="00F67FAE">
        <w:rPr>
          <w:rFonts w:cstheme="minorHAnsi"/>
          <w:sz w:val="20"/>
          <w:szCs w:val="20"/>
        </w:rPr>
        <w:t>Linderhof</w:t>
      </w:r>
      <w:proofErr w:type="spellEnd"/>
      <w:r w:rsidR="00F67FAE" w:rsidRPr="00F67FAE">
        <w:rPr>
          <w:rFonts w:cstheme="minorHAnsi"/>
          <w:sz w:val="20"/>
          <w:szCs w:val="20"/>
        </w:rPr>
        <w:t>. Éste es uno de los 3 castillos construidos por el rey Luís II de Baviera y el único en donde vivió por más tiempo. Después breve parada en la abadía</w:t>
      </w:r>
      <w:r w:rsidR="00F40104">
        <w:rPr>
          <w:rFonts w:cstheme="minorHAnsi"/>
          <w:sz w:val="20"/>
          <w:szCs w:val="20"/>
        </w:rPr>
        <w:t xml:space="preserve"> </w:t>
      </w:r>
      <w:r w:rsidR="000E6619" w:rsidRPr="000E6619">
        <w:rPr>
          <w:rFonts w:cstheme="minorHAnsi"/>
          <w:sz w:val="20"/>
          <w:szCs w:val="20"/>
        </w:rPr>
        <w:t xml:space="preserve">benedictina </w:t>
      </w:r>
      <w:r w:rsidR="000E6619">
        <w:rPr>
          <w:rFonts w:cstheme="minorHAnsi"/>
          <w:sz w:val="20"/>
          <w:szCs w:val="20"/>
        </w:rPr>
        <w:t xml:space="preserve">de </w:t>
      </w:r>
      <w:proofErr w:type="spellStart"/>
      <w:r w:rsidR="000E6619">
        <w:rPr>
          <w:rFonts w:cstheme="minorHAnsi"/>
          <w:sz w:val="20"/>
          <w:szCs w:val="20"/>
        </w:rPr>
        <w:t>Ettal</w:t>
      </w:r>
      <w:proofErr w:type="spellEnd"/>
      <w:r w:rsidR="000E6619">
        <w:rPr>
          <w:rFonts w:cstheme="minorHAnsi"/>
          <w:sz w:val="20"/>
          <w:szCs w:val="20"/>
        </w:rPr>
        <w:t>. Continuación del via</w:t>
      </w:r>
      <w:r w:rsidR="000E6619" w:rsidRPr="000E6619">
        <w:rPr>
          <w:rFonts w:cstheme="minorHAnsi"/>
          <w:sz w:val="20"/>
          <w:szCs w:val="20"/>
        </w:rPr>
        <w:t>je a l</w:t>
      </w:r>
      <w:r w:rsidR="000E6619">
        <w:rPr>
          <w:rFonts w:cstheme="minorHAnsi"/>
          <w:sz w:val="20"/>
          <w:szCs w:val="20"/>
        </w:rPr>
        <w:t xml:space="preserve">a ciudad de Múnich. </w:t>
      </w:r>
      <w:r w:rsidR="000E6619" w:rsidRPr="00DB2758">
        <w:rPr>
          <w:rFonts w:cstheme="minorHAnsi"/>
          <w:b/>
          <w:sz w:val="20"/>
          <w:szCs w:val="20"/>
        </w:rPr>
        <w:t>Alojamiento.</w:t>
      </w:r>
    </w:p>
    <w:p w:rsidR="000A09B5" w:rsidRPr="007B23EC" w:rsidRDefault="000A09B5" w:rsidP="00E503FB">
      <w:pPr>
        <w:jc w:val="both"/>
        <w:rPr>
          <w:rFonts w:cstheme="minorHAnsi"/>
          <w:b/>
          <w:sz w:val="20"/>
          <w:szCs w:val="20"/>
        </w:rPr>
      </w:pPr>
    </w:p>
    <w:p w:rsidR="007B23EC" w:rsidRPr="007B23EC" w:rsidRDefault="007B23EC" w:rsidP="007B23EC">
      <w:pPr>
        <w:jc w:val="both"/>
        <w:rPr>
          <w:rFonts w:cstheme="minorHAnsi"/>
          <w:b/>
          <w:sz w:val="20"/>
          <w:szCs w:val="20"/>
        </w:rPr>
      </w:pPr>
      <w:r w:rsidRPr="007B23EC">
        <w:rPr>
          <w:rFonts w:cstheme="minorHAnsi"/>
          <w:b/>
          <w:sz w:val="20"/>
          <w:szCs w:val="20"/>
        </w:rPr>
        <w:t>Día5. Múnich</w:t>
      </w:r>
    </w:p>
    <w:p w:rsidR="007B23EC" w:rsidRPr="003F2032" w:rsidRDefault="003F2032" w:rsidP="007B23EC">
      <w:pPr>
        <w:jc w:val="both"/>
        <w:rPr>
          <w:rFonts w:cstheme="minorHAnsi"/>
          <w:b/>
          <w:sz w:val="20"/>
          <w:szCs w:val="20"/>
        </w:rPr>
      </w:pPr>
      <w:r w:rsidRPr="003F2032">
        <w:rPr>
          <w:rFonts w:cstheme="minorHAnsi"/>
          <w:b/>
          <w:sz w:val="20"/>
          <w:szCs w:val="20"/>
        </w:rPr>
        <w:t>D</w:t>
      </w:r>
      <w:r w:rsidR="007B23EC" w:rsidRPr="003F2032">
        <w:rPr>
          <w:rFonts w:cstheme="minorHAnsi"/>
          <w:b/>
          <w:sz w:val="20"/>
          <w:szCs w:val="20"/>
        </w:rPr>
        <w:t>esayuno</w:t>
      </w:r>
      <w:r w:rsidRPr="003F2032">
        <w:rPr>
          <w:rFonts w:cstheme="minorHAnsi"/>
          <w:b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V</w:t>
      </w:r>
      <w:r w:rsidR="007B23EC" w:rsidRPr="007B23EC">
        <w:rPr>
          <w:rFonts w:cstheme="minorHAnsi"/>
          <w:sz w:val="20"/>
          <w:szCs w:val="20"/>
        </w:rPr>
        <w:t>isita de los mayores atractivos de la ciudad fin</w:t>
      </w:r>
      <w:r>
        <w:rPr>
          <w:rFonts w:cstheme="minorHAnsi"/>
          <w:sz w:val="20"/>
          <w:szCs w:val="20"/>
        </w:rPr>
        <w:t>alizan</w:t>
      </w:r>
      <w:r w:rsidR="007B23EC" w:rsidRPr="007B23EC">
        <w:rPr>
          <w:rFonts w:cstheme="minorHAnsi"/>
          <w:sz w:val="20"/>
          <w:szCs w:val="20"/>
        </w:rPr>
        <w:t>do en la plaza principal “</w:t>
      </w:r>
      <w:proofErr w:type="spellStart"/>
      <w:r w:rsidR="007B23EC" w:rsidRPr="007B23EC">
        <w:rPr>
          <w:rFonts w:cstheme="minorHAnsi"/>
          <w:sz w:val="20"/>
          <w:szCs w:val="20"/>
        </w:rPr>
        <w:t>Marienplatz</w:t>
      </w:r>
      <w:proofErr w:type="spellEnd"/>
      <w:r w:rsidR="007B23EC" w:rsidRPr="007B23EC">
        <w:rPr>
          <w:rFonts w:cstheme="minorHAnsi"/>
          <w:sz w:val="20"/>
          <w:szCs w:val="20"/>
        </w:rPr>
        <w:t xml:space="preserve">” para admirar el </w:t>
      </w:r>
      <w:r>
        <w:rPr>
          <w:rFonts w:cstheme="minorHAnsi"/>
          <w:sz w:val="20"/>
          <w:szCs w:val="20"/>
        </w:rPr>
        <w:t>famoso carillón del ayuntamien</w:t>
      </w:r>
      <w:r w:rsidR="007B23EC" w:rsidRPr="007B23EC">
        <w:rPr>
          <w:rFonts w:cstheme="minorHAnsi"/>
          <w:sz w:val="20"/>
          <w:szCs w:val="20"/>
        </w:rPr>
        <w:t>to. Múnich, capital del estado de Baviera, es famosa p</w:t>
      </w:r>
      <w:r>
        <w:rPr>
          <w:rFonts w:cstheme="minorHAnsi"/>
          <w:sz w:val="20"/>
          <w:szCs w:val="20"/>
        </w:rPr>
        <w:t>or su Fiesta de la Cerveza “</w:t>
      </w:r>
      <w:proofErr w:type="spellStart"/>
      <w:r w:rsidR="00F7691E">
        <w:rPr>
          <w:rFonts w:cstheme="minorHAnsi"/>
          <w:sz w:val="20"/>
          <w:szCs w:val="20"/>
        </w:rPr>
        <w:t>Oktoberfest“que</w:t>
      </w:r>
      <w:proofErr w:type="spellEnd"/>
      <w:r>
        <w:rPr>
          <w:rFonts w:cstheme="minorHAnsi"/>
          <w:sz w:val="20"/>
          <w:szCs w:val="20"/>
        </w:rPr>
        <w:t xml:space="preserve"> se celebra en el mes de sep</w:t>
      </w:r>
      <w:r w:rsidR="007B23EC" w:rsidRPr="007B23EC">
        <w:rPr>
          <w:rFonts w:cstheme="minorHAnsi"/>
          <w:sz w:val="20"/>
          <w:szCs w:val="20"/>
        </w:rPr>
        <w:t xml:space="preserve">tiembre. Tiempo libre. En la noche podrá disfrutar de una </w:t>
      </w:r>
      <w:r w:rsidR="007B23EC" w:rsidRPr="008851D3">
        <w:rPr>
          <w:rFonts w:cstheme="minorHAnsi"/>
          <w:b/>
          <w:bCs/>
          <w:sz w:val="20"/>
          <w:szCs w:val="20"/>
        </w:rPr>
        <w:t>cena típica bávara</w:t>
      </w:r>
      <w:r>
        <w:rPr>
          <w:rFonts w:cstheme="minorHAnsi"/>
          <w:sz w:val="20"/>
          <w:szCs w:val="20"/>
        </w:rPr>
        <w:t xml:space="preserve">. </w:t>
      </w:r>
      <w:r w:rsidRPr="003F2032">
        <w:rPr>
          <w:rFonts w:cstheme="minorHAnsi"/>
          <w:b/>
          <w:sz w:val="20"/>
          <w:szCs w:val="20"/>
        </w:rPr>
        <w:t>Alojamiento.</w:t>
      </w:r>
    </w:p>
    <w:p w:rsidR="00D00A3D" w:rsidRDefault="00D00A3D" w:rsidP="00E503FB">
      <w:pPr>
        <w:jc w:val="both"/>
        <w:rPr>
          <w:rFonts w:cstheme="minorHAnsi"/>
          <w:sz w:val="20"/>
          <w:szCs w:val="20"/>
        </w:rPr>
      </w:pPr>
    </w:p>
    <w:p w:rsidR="00166E09" w:rsidRPr="00166E09" w:rsidRDefault="00166E09" w:rsidP="00E503FB">
      <w:pPr>
        <w:jc w:val="both"/>
        <w:rPr>
          <w:rFonts w:cstheme="minorHAnsi"/>
          <w:b/>
          <w:sz w:val="20"/>
          <w:szCs w:val="20"/>
        </w:rPr>
      </w:pPr>
      <w:r w:rsidRPr="00166E09">
        <w:rPr>
          <w:rFonts w:cstheme="minorHAnsi"/>
          <w:b/>
          <w:sz w:val="20"/>
          <w:szCs w:val="20"/>
        </w:rPr>
        <w:t xml:space="preserve">Día 6. Múnich - </w:t>
      </w:r>
      <w:proofErr w:type="spellStart"/>
      <w:r w:rsidRPr="00166E09">
        <w:rPr>
          <w:rFonts w:cstheme="minorHAnsi"/>
          <w:b/>
          <w:sz w:val="20"/>
          <w:szCs w:val="20"/>
        </w:rPr>
        <w:t>Rothenburg</w:t>
      </w:r>
      <w:proofErr w:type="spellEnd"/>
      <w:r w:rsidRPr="00166E09">
        <w:rPr>
          <w:rFonts w:cstheme="minorHAnsi"/>
          <w:b/>
          <w:sz w:val="20"/>
          <w:szCs w:val="20"/>
        </w:rPr>
        <w:t xml:space="preserve"> </w:t>
      </w:r>
      <w:proofErr w:type="spellStart"/>
      <w:r w:rsidRPr="00166E09">
        <w:rPr>
          <w:rFonts w:cstheme="minorHAnsi"/>
          <w:b/>
          <w:sz w:val="20"/>
          <w:szCs w:val="20"/>
        </w:rPr>
        <w:t>ob</w:t>
      </w:r>
      <w:proofErr w:type="spellEnd"/>
      <w:r w:rsidRPr="00166E09">
        <w:rPr>
          <w:rFonts w:cstheme="minorHAnsi"/>
          <w:b/>
          <w:sz w:val="20"/>
          <w:szCs w:val="20"/>
        </w:rPr>
        <w:t xml:space="preserve"> der </w:t>
      </w:r>
      <w:proofErr w:type="spellStart"/>
      <w:r w:rsidRPr="00166E09">
        <w:rPr>
          <w:rFonts w:cstheme="minorHAnsi"/>
          <w:b/>
          <w:sz w:val="20"/>
          <w:szCs w:val="20"/>
        </w:rPr>
        <w:t>Tauber</w:t>
      </w:r>
      <w:proofErr w:type="spellEnd"/>
      <w:r w:rsidRPr="00166E09">
        <w:rPr>
          <w:rFonts w:cstheme="minorHAnsi"/>
          <w:b/>
          <w:sz w:val="20"/>
          <w:szCs w:val="20"/>
        </w:rPr>
        <w:t xml:space="preserve"> - Nuremberg </w:t>
      </w:r>
    </w:p>
    <w:p w:rsidR="00E07F2B" w:rsidRDefault="002B2AB6" w:rsidP="00E503FB">
      <w:pPr>
        <w:jc w:val="both"/>
        <w:rPr>
          <w:rFonts w:cstheme="minorHAnsi"/>
          <w:sz w:val="20"/>
          <w:szCs w:val="20"/>
        </w:rPr>
      </w:pPr>
      <w:r w:rsidRPr="002B2AB6">
        <w:rPr>
          <w:rFonts w:cstheme="minorHAnsi"/>
          <w:b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</w:t>
      </w:r>
      <w:r w:rsidR="00166E09" w:rsidRPr="00166E09">
        <w:rPr>
          <w:rFonts w:cstheme="minorHAnsi"/>
          <w:sz w:val="20"/>
          <w:szCs w:val="20"/>
        </w:rPr>
        <w:t>Hoy el tour s</w:t>
      </w:r>
      <w:r>
        <w:rPr>
          <w:rFonts w:cstheme="minorHAnsi"/>
          <w:sz w:val="20"/>
          <w:szCs w:val="20"/>
        </w:rPr>
        <w:t>igue a lo largo de la “Ruta Ro</w:t>
      </w:r>
      <w:r w:rsidR="00166E09" w:rsidRPr="00166E09">
        <w:rPr>
          <w:rFonts w:cstheme="minorHAnsi"/>
          <w:sz w:val="20"/>
          <w:szCs w:val="20"/>
        </w:rPr>
        <w:t>má</w:t>
      </w:r>
      <w:r>
        <w:rPr>
          <w:rFonts w:cstheme="minorHAnsi"/>
          <w:sz w:val="20"/>
          <w:szCs w:val="20"/>
        </w:rPr>
        <w:t xml:space="preserve">ntica”. Salida hacia </w:t>
      </w:r>
      <w:proofErr w:type="spellStart"/>
      <w:r>
        <w:rPr>
          <w:rFonts w:cstheme="minorHAnsi"/>
          <w:sz w:val="20"/>
          <w:szCs w:val="20"/>
        </w:rPr>
        <w:t>Rothenburg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166E09" w:rsidRPr="00166E09">
        <w:rPr>
          <w:rFonts w:cstheme="minorHAnsi"/>
          <w:sz w:val="20"/>
          <w:szCs w:val="20"/>
        </w:rPr>
        <w:t>ob</w:t>
      </w:r>
      <w:proofErr w:type="spellEnd"/>
      <w:r w:rsidR="00166E09" w:rsidRPr="00166E09">
        <w:rPr>
          <w:rFonts w:cstheme="minorHAnsi"/>
          <w:sz w:val="20"/>
          <w:szCs w:val="20"/>
        </w:rPr>
        <w:t xml:space="preserve"> der </w:t>
      </w:r>
      <w:proofErr w:type="spellStart"/>
      <w:r w:rsidR="00166E09" w:rsidRPr="00166E09">
        <w:rPr>
          <w:rFonts w:cstheme="minorHAnsi"/>
          <w:sz w:val="20"/>
          <w:szCs w:val="20"/>
        </w:rPr>
        <w:t>Tauber</w:t>
      </w:r>
      <w:proofErr w:type="spellEnd"/>
      <w:r w:rsidR="00166E09" w:rsidRPr="00166E09">
        <w:rPr>
          <w:rFonts w:cstheme="minorHAnsi"/>
          <w:sz w:val="20"/>
          <w:szCs w:val="20"/>
        </w:rPr>
        <w:t xml:space="preserve">, una de las ciudades más bellas y antiguas de la “Ruta Romántica”. Paso por la ciudad de ensueño para los románticos. Continuación a Nuremberg, la segunda ciudad más grande de Baviera. </w:t>
      </w:r>
      <w:r w:rsidR="00166E09" w:rsidRPr="002B2AB6">
        <w:rPr>
          <w:rFonts w:cstheme="minorHAnsi"/>
          <w:b/>
          <w:sz w:val="20"/>
          <w:szCs w:val="20"/>
        </w:rPr>
        <w:t>Alojamien</w:t>
      </w:r>
      <w:r w:rsidRPr="002B2AB6">
        <w:rPr>
          <w:rFonts w:cstheme="minorHAnsi"/>
          <w:b/>
          <w:sz w:val="20"/>
          <w:szCs w:val="20"/>
        </w:rPr>
        <w:t>to.</w:t>
      </w:r>
    </w:p>
    <w:p w:rsidR="00710692" w:rsidRPr="00C870E9" w:rsidRDefault="00710692" w:rsidP="00E503FB">
      <w:pPr>
        <w:jc w:val="both"/>
        <w:rPr>
          <w:rFonts w:cstheme="minorHAnsi"/>
          <w:sz w:val="20"/>
          <w:szCs w:val="20"/>
        </w:rPr>
      </w:pPr>
    </w:p>
    <w:p w:rsidR="00C870E9" w:rsidRPr="00C870E9" w:rsidRDefault="00C870E9" w:rsidP="00E503FB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Día7. </w:t>
      </w:r>
      <w:proofErr w:type="spellStart"/>
      <w:r w:rsidRPr="00C870E9">
        <w:rPr>
          <w:rFonts w:cstheme="minorHAnsi"/>
          <w:b/>
          <w:sz w:val="20"/>
          <w:szCs w:val="20"/>
        </w:rPr>
        <w:t>Nuremberg</w:t>
      </w:r>
      <w:proofErr w:type="spellEnd"/>
      <w:r w:rsidRPr="00C870E9">
        <w:rPr>
          <w:rFonts w:cstheme="minorHAnsi"/>
          <w:b/>
          <w:sz w:val="20"/>
          <w:szCs w:val="20"/>
        </w:rPr>
        <w:t xml:space="preserve"> - </w:t>
      </w:r>
      <w:proofErr w:type="spellStart"/>
      <w:r w:rsidRPr="00C870E9">
        <w:rPr>
          <w:rFonts w:cstheme="minorHAnsi"/>
          <w:b/>
          <w:sz w:val="20"/>
          <w:szCs w:val="20"/>
        </w:rPr>
        <w:t>Würzburg</w:t>
      </w:r>
      <w:proofErr w:type="spellEnd"/>
      <w:r w:rsidRPr="00C870E9">
        <w:rPr>
          <w:rFonts w:cstheme="minorHAnsi"/>
          <w:b/>
          <w:sz w:val="20"/>
          <w:szCs w:val="20"/>
        </w:rPr>
        <w:t xml:space="preserve"> - Frankfurt </w:t>
      </w:r>
    </w:p>
    <w:p w:rsidR="0083674E" w:rsidRDefault="00C870E9" w:rsidP="00E503FB">
      <w:pPr>
        <w:jc w:val="both"/>
        <w:rPr>
          <w:rFonts w:cstheme="minorHAnsi"/>
          <w:sz w:val="20"/>
          <w:szCs w:val="20"/>
        </w:rPr>
      </w:pPr>
      <w:r w:rsidRPr="00C870E9">
        <w:rPr>
          <w:rFonts w:cstheme="minorHAnsi"/>
          <w:b/>
          <w:sz w:val="20"/>
          <w:szCs w:val="20"/>
        </w:rPr>
        <w:t>Desayuno</w:t>
      </w:r>
      <w:r>
        <w:rPr>
          <w:rFonts w:cstheme="minorHAnsi"/>
          <w:sz w:val="20"/>
          <w:szCs w:val="20"/>
        </w:rPr>
        <w:t>.  Se hará una visi</w:t>
      </w:r>
      <w:r w:rsidRPr="00C870E9">
        <w:rPr>
          <w:rFonts w:cstheme="minorHAnsi"/>
          <w:sz w:val="20"/>
          <w:szCs w:val="20"/>
        </w:rPr>
        <w:t xml:space="preserve">ta guiada de </w:t>
      </w:r>
      <w:r>
        <w:rPr>
          <w:rFonts w:cstheme="minorHAnsi"/>
          <w:sz w:val="20"/>
          <w:szCs w:val="20"/>
        </w:rPr>
        <w:t>la ciudad. A continuación, sali</w:t>
      </w:r>
      <w:r w:rsidRPr="00C870E9">
        <w:rPr>
          <w:rFonts w:cstheme="minorHAnsi"/>
          <w:sz w:val="20"/>
          <w:szCs w:val="20"/>
        </w:rPr>
        <w:t>da hacia Fra</w:t>
      </w:r>
      <w:r>
        <w:rPr>
          <w:rFonts w:cstheme="minorHAnsi"/>
          <w:sz w:val="20"/>
          <w:szCs w:val="20"/>
        </w:rPr>
        <w:t>nkfurt con una parada en la ciu</w:t>
      </w:r>
      <w:r w:rsidRPr="00C870E9">
        <w:rPr>
          <w:rFonts w:cstheme="minorHAnsi"/>
          <w:sz w:val="20"/>
          <w:szCs w:val="20"/>
        </w:rPr>
        <w:t xml:space="preserve">dad de </w:t>
      </w:r>
      <w:proofErr w:type="spellStart"/>
      <w:r w:rsidRPr="00C870E9">
        <w:rPr>
          <w:rFonts w:cstheme="minorHAnsi"/>
          <w:sz w:val="20"/>
          <w:szCs w:val="20"/>
        </w:rPr>
        <w:t>Würzburg</w:t>
      </w:r>
      <w:proofErr w:type="spellEnd"/>
      <w:r w:rsidRPr="00C870E9">
        <w:rPr>
          <w:rFonts w:cstheme="minorHAnsi"/>
          <w:sz w:val="20"/>
          <w:szCs w:val="20"/>
        </w:rPr>
        <w:t xml:space="preserve">, que forma el límite norte de la “Ruta Romántica”. Después de la visita a la ciudad de </w:t>
      </w:r>
      <w:proofErr w:type="spellStart"/>
      <w:r w:rsidRPr="00C870E9">
        <w:rPr>
          <w:rFonts w:cstheme="minorHAnsi"/>
          <w:sz w:val="20"/>
          <w:szCs w:val="20"/>
        </w:rPr>
        <w:t>Würzburg</w:t>
      </w:r>
      <w:proofErr w:type="spellEnd"/>
      <w:r w:rsidRPr="00C870E9">
        <w:rPr>
          <w:rFonts w:cstheme="minorHAnsi"/>
          <w:sz w:val="20"/>
          <w:szCs w:val="20"/>
        </w:rPr>
        <w:t xml:space="preserve"> continua el viaje a Frankfurt. El tour finaliza en el Aeropuerto de Frankfurt alrededor de las 17:00 horas. </w:t>
      </w:r>
    </w:p>
    <w:p w:rsidR="00C870E9" w:rsidRDefault="00C870E9" w:rsidP="00E503FB">
      <w:pPr>
        <w:jc w:val="both"/>
        <w:rPr>
          <w:rFonts w:cstheme="minorHAnsi"/>
          <w:b/>
          <w:sz w:val="20"/>
          <w:szCs w:val="20"/>
        </w:rPr>
      </w:pPr>
    </w:p>
    <w:p w:rsidR="00D00A3D" w:rsidRDefault="00D00A3D" w:rsidP="00D00A3D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160F0E" w:rsidRDefault="00160F0E" w:rsidP="00D00A3D">
      <w:pPr>
        <w:rPr>
          <w:b/>
          <w:bCs/>
          <w:sz w:val="20"/>
          <w:szCs w:val="20"/>
          <w:lang w:val="es-ES"/>
        </w:rPr>
      </w:pPr>
    </w:p>
    <w:p w:rsidR="00D00A3D" w:rsidRPr="005B22A4" w:rsidRDefault="00D00A3D" w:rsidP="00D00A3D">
      <w:pPr>
        <w:rPr>
          <w:b/>
          <w:bCs/>
          <w:sz w:val="20"/>
          <w:szCs w:val="20"/>
          <w:lang w:val="es-ES"/>
        </w:rPr>
      </w:pPr>
    </w:p>
    <w:p w:rsidR="00D00A3D" w:rsidRPr="00B56B0D" w:rsidRDefault="00D00A3D" w:rsidP="00D00A3D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A0CD3" wp14:editId="5DCAD1F1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A3D" w:rsidRPr="00F74623" w:rsidRDefault="00D00A3D" w:rsidP="00D00A3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FA0CD3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c6A/Z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D00A3D" w:rsidRPr="00F74623" w:rsidRDefault="00D00A3D" w:rsidP="00D00A3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00A3D" w:rsidRPr="00B56B0D" w:rsidRDefault="00D00A3D" w:rsidP="00D00A3D">
      <w:pPr>
        <w:rPr>
          <w:sz w:val="20"/>
          <w:szCs w:val="20"/>
          <w:lang w:val="es-ES"/>
        </w:rPr>
      </w:pPr>
    </w:p>
    <w:p w:rsidR="00D00A3D" w:rsidRPr="00EE20F7" w:rsidRDefault="00160F0E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D00A3D" w:rsidRPr="00EE20F7">
        <w:rPr>
          <w:sz w:val="20"/>
          <w:szCs w:val="20"/>
        </w:rPr>
        <w:t xml:space="preserve"> noche de alojamiento en </w:t>
      </w:r>
      <w:r>
        <w:rPr>
          <w:sz w:val="20"/>
          <w:szCs w:val="20"/>
        </w:rPr>
        <w:t>Frankfurt</w:t>
      </w:r>
      <w:r w:rsidR="00D00A3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 en Friburgo, 1 en </w:t>
      </w:r>
      <w:proofErr w:type="spellStart"/>
      <w:r w:rsidRPr="00160F0E">
        <w:rPr>
          <w:sz w:val="20"/>
          <w:szCs w:val="20"/>
        </w:rPr>
        <w:t>Kempten</w:t>
      </w:r>
      <w:proofErr w:type="spellEnd"/>
      <w:r>
        <w:rPr>
          <w:sz w:val="20"/>
          <w:szCs w:val="20"/>
        </w:rPr>
        <w:t xml:space="preserve">, </w:t>
      </w:r>
      <w:r w:rsidR="00DE5458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en </w:t>
      </w:r>
      <w:r w:rsidR="00BE1C11">
        <w:rPr>
          <w:sz w:val="20"/>
          <w:szCs w:val="20"/>
        </w:rPr>
        <w:t>Múnich</w:t>
      </w:r>
      <w:r w:rsidR="00DE5458">
        <w:rPr>
          <w:sz w:val="20"/>
          <w:szCs w:val="20"/>
        </w:rPr>
        <w:t xml:space="preserve"> y 1 en Nuremberg</w:t>
      </w:r>
      <w:r w:rsidR="0001029B">
        <w:rPr>
          <w:sz w:val="20"/>
          <w:szCs w:val="20"/>
        </w:rPr>
        <w:t>.</w:t>
      </w:r>
    </w:p>
    <w:p w:rsidR="00D00A3D" w:rsidRDefault="00BE1C11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160F0E">
        <w:rPr>
          <w:sz w:val="20"/>
          <w:szCs w:val="20"/>
        </w:rPr>
        <w:t xml:space="preserve"> desayunos</w:t>
      </w:r>
      <w:r w:rsidR="00A00BDA">
        <w:rPr>
          <w:sz w:val="20"/>
          <w:szCs w:val="20"/>
        </w:rPr>
        <w:t xml:space="preserve">, 1 cena. </w:t>
      </w:r>
    </w:p>
    <w:p w:rsidR="00D00A3D" w:rsidRPr="006165EB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 w:rsidRPr="006165EB">
        <w:rPr>
          <w:sz w:val="20"/>
          <w:szCs w:val="20"/>
        </w:rPr>
        <w:t xml:space="preserve">Traslados aeropuerto/hotel/aeropuerto en servicio </w:t>
      </w:r>
      <w:r w:rsidR="0036482B">
        <w:rPr>
          <w:sz w:val="20"/>
          <w:szCs w:val="20"/>
        </w:rPr>
        <w:t>compartido</w:t>
      </w:r>
      <w:r w:rsidRPr="006165EB">
        <w:rPr>
          <w:sz w:val="20"/>
          <w:szCs w:val="20"/>
        </w:rPr>
        <w:t>.</w:t>
      </w:r>
    </w:p>
    <w:p w:rsidR="00D00A3D" w:rsidRPr="006165EB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 xml:space="preserve">Visitas según itinerario en servicio </w:t>
      </w:r>
      <w:r w:rsidR="0036482B">
        <w:rPr>
          <w:sz w:val="20"/>
          <w:szCs w:val="20"/>
        </w:rPr>
        <w:t>compartido</w:t>
      </w:r>
      <w:r w:rsidRPr="006165EB">
        <w:rPr>
          <w:sz w:val="20"/>
          <w:szCs w:val="20"/>
        </w:rPr>
        <w:t>.</w:t>
      </w:r>
    </w:p>
    <w:p w:rsidR="00D00A3D" w:rsidRPr="006165EB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Transporte</w:t>
      </w:r>
      <w:r>
        <w:rPr>
          <w:sz w:val="20"/>
          <w:szCs w:val="20"/>
        </w:rPr>
        <w:t xml:space="preserve"> en autocar</w:t>
      </w:r>
      <w:r w:rsidR="00F95E3B">
        <w:rPr>
          <w:sz w:val="20"/>
          <w:szCs w:val="20"/>
        </w:rPr>
        <w:t xml:space="preserve"> </w:t>
      </w:r>
      <w:r w:rsidRPr="006165EB">
        <w:rPr>
          <w:sz w:val="20"/>
          <w:szCs w:val="20"/>
        </w:rPr>
        <w:t>y guía de habla hispana durante su recorrido.</w:t>
      </w:r>
    </w:p>
    <w:p w:rsidR="00D00A3D" w:rsidRPr="00FE4526" w:rsidRDefault="00D00A3D" w:rsidP="00D00A3D">
      <w:pPr>
        <w:rPr>
          <w:b/>
          <w:sz w:val="20"/>
          <w:szCs w:val="20"/>
          <w:lang w:val="es-MX"/>
        </w:rPr>
      </w:pPr>
    </w:p>
    <w:p w:rsidR="00D00A3D" w:rsidRPr="00B56B0D" w:rsidRDefault="00D00A3D" w:rsidP="00D00A3D">
      <w:pPr>
        <w:ind w:left="142"/>
        <w:rPr>
          <w:b/>
        </w:rPr>
      </w:pPr>
      <w:r w:rsidRPr="00B56B0D">
        <w:rPr>
          <w:b/>
        </w:rPr>
        <w:t>NO Incluye</w:t>
      </w:r>
    </w:p>
    <w:p w:rsidR="00D00A3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D00A3D" w:rsidRPr="00AF2AF1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D00A3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42D1B">
        <w:rPr>
          <w:sz w:val="20"/>
          <w:szCs w:val="20"/>
        </w:rPr>
        <w:t xml:space="preserve">Seguro de asistencia en viaje con cobertura COVID </w:t>
      </w:r>
    </w:p>
    <w:p w:rsidR="00711BC3" w:rsidRDefault="00711BC3" w:rsidP="00711BC3">
      <w:pPr>
        <w:tabs>
          <w:tab w:val="left" w:pos="851"/>
        </w:tabs>
        <w:rPr>
          <w:sz w:val="20"/>
          <w:szCs w:val="20"/>
        </w:rPr>
      </w:pPr>
    </w:p>
    <w:p w:rsidR="00711BC3" w:rsidRDefault="00711BC3" w:rsidP="00711BC3">
      <w:pPr>
        <w:tabs>
          <w:tab w:val="left" w:pos="851"/>
        </w:tabs>
        <w:rPr>
          <w:sz w:val="20"/>
          <w:szCs w:val="20"/>
        </w:rPr>
      </w:pPr>
    </w:p>
    <w:tbl>
      <w:tblPr>
        <w:tblW w:w="3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3"/>
        <w:gridCol w:w="432"/>
        <w:gridCol w:w="516"/>
      </w:tblGrid>
      <w:tr w:rsidR="00355F5E" w:rsidRPr="00A44B96" w:rsidTr="007B4CB8">
        <w:trPr>
          <w:trHeight w:val="24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44B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3334DA">
        <w:trPr>
          <w:trHeight w:val="247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355F5E" w:rsidRPr="00A44B96" w:rsidRDefault="00D206E9" w:rsidP="003F38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Domingos </w:t>
            </w:r>
          </w:p>
        </w:tc>
      </w:tr>
      <w:tr w:rsidR="00355F5E" w:rsidRPr="00A44B96" w:rsidTr="003334DA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5F5E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Marzo 2024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3334DA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7B4CB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7B4CB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7B4CB8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7B4CB8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7B4CB8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55F5E" w:rsidRPr="00A44B96" w:rsidTr="007B4C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F5E" w:rsidRPr="00A44B96" w:rsidRDefault="00355F5E" w:rsidP="003F386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5E" w:rsidRPr="00A44B96" w:rsidRDefault="00355F5E" w:rsidP="003F386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7B4CB8" w:rsidRPr="00B56A6E" w:rsidRDefault="007B4CB8" w:rsidP="00B56A6E">
      <w:pPr>
        <w:tabs>
          <w:tab w:val="left" w:pos="851"/>
        </w:tabs>
        <w:rPr>
          <w:sz w:val="20"/>
          <w:szCs w:val="20"/>
        </w:rPr>
      </w:pPr>
    </w:p>
    <w:p w:rsidR="007B4CB8" w:rsidRDefault="007B4CB8" w:rsidP="00711BC3">
      <w:pPr>
        <w:tabs>
          <w:tab w:val="left" w:pos="851"/>
        </w:tabs>
        <w:rPr>
          <w:sz w:val="20"/>
          <w:szCs w:val="20"/>
        </w:rPr>
      </w:pPr>
    </w:p>
    <w:p w:rsidR="007B4CB8" w:rsidRDefault="007B4CB8" w:rsidP="00711BC3">
      <w:pPr>
        <w:tabs>
          <w:tab w:val="left" w:pos="851"/>
        </w:tabs>
        <w:rPr>
          <w:sz w:val="20"/>
          <w:szCs w:val="20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5"/>
        <w:gridCol w:w="1370"/>
      </w:tblGrid>
      <w:tr w:rsidR="007B4CB8" w:rsidRPr="007B4CB8" w:rsidTr="007B4CB8">
        <w:trPr>
          <w:trHeight w:val="315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7B4CB8" w:rsidRPr="007B4CB8" w:rsidTr="007B4CB8">
        <w:trPr>
          <w:trHeight w:val="315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4CB8" w:rsidRPr="007B4CB8" w:rsidRDefault="007B4CB8" w:rsidP="007B4C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7B4CB8" w:rsidRPr="007B4CB8" w:rsidTr="007B4CB8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B4CB8" w:rsidRPr="007B4CB8" w:rsidRDefault="000E4B8B" w:rsidP="007B4C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</w:t>
            </w:r>
            <w:r w:rsidR="007B4CB8" w:rsidRPr="007B4CB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Marzo  - 31 Octubre2024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7B4CB8" w:rsidRPr="007B4CB8" w:rsidTr="007B4CB8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4CB8" w:rsidRPr="007B4CB8" w:rsidRDefault="007B4CB8" w:rsidP="007B4C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1335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1730</w:t>
            </w:r>
          </w:p>
        </w:tc>
      </w:tr>
      <w:tr w:rsidR="007B4CB8" w:rsidRPr="007B4CB8" w:rsidTr="007B4CB8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B8" w:rsidRPr="007B4CB8" w:rsidRDefault="007B4CB8" w:rsidP="007B4CB8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Oktoberfest</w:t>
            </w:r>
            <w:proofErr w:type="spellEnd"/>
            <w:r w:rsidR="0020008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</w:t>
            </w:r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: 22 </w:t>
            </w:r>
            <w:proofErr w:type="spellStart"/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95</w:t>
            </w:r>
          </w:p>
        </w:tc>
      </w:tr>
      <w:tr w:rsidR="007B4CB8" w:rsidRPr="007B4CB8" w:rsidTr="007B4CB8">
        <w:trPr>
          <w:trHeight w:val="330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7B4CB8" w:rsidRPr="007B4CB8" w:rsidTr="007B4CB8">
        <w:trPr>
          <w:trHeight w:val="315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4CB8" w:rsidRPr="007B4CB8" w:rsidRDefault="007B4CB8" w:rsidP="007B4CB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B4C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9334C6" w:rsidRPr="007B4CB8" w:rsidRDefault="009334C6" w:rsidP="00711BC3">
      <w:pPr>
        <w:tabs>
          <w:tab w:val="left" w:pos="851"/>
        </w:tabs>
        <w:rPr>
          <w:sz w:val="20"/>
          <w:szCs w:val="20"/>
          <w:lang w:val="es-MX"/>
        </w:rPr>
      </w:pPr>
    </w:p>
    <w:p w:rsidR="00711BC3" w:rsidRDefault="00711BC3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835D8C" w:rsidRDefault="00835D8C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835D8C" w:rsidRDefault="00835D8C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3334DA" w:rsidRDefault="003334DA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3334DA" w:rsidRDefault="003334DA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3334DA" w:rsidRDefault="003334DA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3334DA" w:rsidRDefault="003334DA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835D8C" w:rsidRDefault="00835D8C" w:rsidP="00D00A3D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134"/>
        <w:gridCol w:w="5582"/>
      </w:tblGrid>
      <w:tr w:rsidR="00160F0E" w:rsidRPr="00160F0E" w:rsidTr="00160F0E">
        <w:trPr>
          <w:trHeight w:val="315"/>
        </w:trPr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60F0E" w:rsidRPr="00160F0E" w:rsidRDefault="00160F0E" w:rsidP="00160F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60F0E" w:rsidRPr="00160F0E" w:rsidTr="00160F0E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60F0E" w:rsidRPr="00160F0E" w:rsidRDefault="00160F0E" w:rsidP="00160F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60F0E" w:rsidRPr="00160F0E" w:rsidRDefault="00160F0E" w:rsidP="00160F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60F0E" w:rsidRPr="00160F0E" w:rsidRDefault="00160F0E" w:rsidP="00160F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190FE2" w:rsidRPr="00160F0E" w:rsidTr="00282874">
        <w:trPr>
          <w:trHeight w:val="315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FE2" w:rsidRPr="00160F0E" w:rsidRDefault="00190FE2" w:rsidP="00160F0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Frankfurt</w:t>
            </w:r>
          </w:p>
        </w:tc>
        <w:tc>
          <w:tcPr>
            <w:tcW w:w="5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Hotel </w:t>
            </w:r>
            <w:proofErr w:type="spellStart"/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Mövenpick</w:t>
            </w:r>
            <w:proofErr w:type="spellEnd"/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Frankfurt</w:t>
            </w:r>
          </w:p>
        </w:tc>
      </w:tr>
      <w:tr w:rsidR="00190FE2" w:rsidRPr="00160F0E" w:rsidTr="00282874">
        <w:trPr>
          <w:trHeight w:val="330"/>
        </w:trPr>
        <w:tc>
          <w:tcPr>
            <w:tcW w:w="11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Friburgo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FE2" w:rsidRPr="00160F0E" w:rsidRDefault="00597FE5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Novotel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="00190FE2"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am </w:t>
            </w:r>
            <w:proofErr w:type="spellStart"/>
            <w:r w:rsidR="00190FE2"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Konzerthaus</w:t>
            </w:r>
            <w:proofErr w:type="spellEnd"/>
          </w:p>
        </w:tc>
      </w:tr>
      <w:tr w:rsidR="00190FE2" w:rsidRPr="00160F0E" w:rsidTr="00282874">
        <w:trPr>
          <w:trHeight w:val="300"/>
        </w:trPr>
        <w:tc>
          <w:tcPr>
            <w:tcW w:w="11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Kempten</w:t>
            </w:r>
            <w:proofErr w:type="spellEnd"/>
          </w:p>
        </w:tc>
        <w:tc>
          <w:tcPr>
            <w:tcW w:w="5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FE2" w:rsidRPr="00160F0E" w:rsidRDefault="00301666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BigBox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Hotel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Kempten</w:t>
            </w:r>
            <w:proofErr w:type="spellEnd"/>
          </w:p>
        </w:tc>
      </w:tr>
      <w:tr w:rsidR="00190FE2" w:rsidRPr="00EA53CD" w:rsidTr="00282874">
        <w:trPr>
          <w:trHeight w:val="315"/>
        </w:trPr>
        <w:tc>
          <w:tcPr>
            <w:tcW w:w="11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160F0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Munich</w:t>
            </w:r>
            <w:proofErr w:type="spellEnd"/>
          </w:p>
        </w:tc>
        <w:tc>
          <w:tcPr>
            <w:tcW w:w="5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FE2" w:rsidRPr="00711BC3" w:rsidRDefault="00351644" w:rsidP="00160F0E">
            <w:pPr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 xml:space="preserve">Hotel Holiday Inn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>Mú</w:t>
            </w:r>
            <w:r w:rsidR="00190FE2" w:rsidRPr="00711BC3"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>nich</w:t>
            </w:r>
            <w:proofErr w:type="spellEnd"/>
            <w:r w:rsidR="00190FE2" w:rsidRPr="00711BC3"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 xml:space="preserve"> City Center</w:t>
            </w:r>
          </w:p>
        </w:tc>
      </w:tr>
      <w:tr w:rsidR="00190FE2" w:rsidRPr="00711BC3" w:rsidTr="00282874">
        <w:trPr>
          <w:trHeight w:val="315"/>
        </w:trPr>
        <w:tc>
          <w:tcPr>
            <w:tcW w:w="11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0FE2" w:rsidRPr="0020008C" w:rsidRDefault="00190FE2" w:rsidP="00160F0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FE2" w:rsidRPr="00160F0E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Nuremberg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FE2" w:rsidRPr="00711BC3" w:rsidRDefault="00190FE2" w:rsidP="00160F0E">
            <w:pPr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 xml:space="preserve">Park Plaza </w:t>
            </w:r>
          </w:p>
        </w:tc>
      </w:tr>
    </w:tbl>
    <w:p w:rsidR="00272430" w:rsidRPr="00711BC3" w:rsidRDefault="00272430" w:rsidP="00D00A3D">
      <w:pPr>
        <w:rPr>
          <w:rFonts w:eastAsia="Calibri" w:cs="Tahoma"/>
          <w:b/>
          <w:color w:val="000000" w:themeColor="text1"/>
          <w:lang w:val="en-US"/>
        </w:rPr>
      </w:pPr>
    </w:p>
    <w:p w:rsidR="00D00A3D" w:rsidRDefault="00D00A3D" w:rsidP="00D00A3D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D00A3D" w:rsidRDefault="00D00A3D" w:rsidP="00D00A3D">
      <w:pPr>
        <w:rPr>
          <w:rFonts w:eastAsia="Calibri" w:cs="Tahoma"/>
          <w:b/>
          <w:color w:val="000000" w:themeColor="text1"/>
        </w:rPr>
      </w:pP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niños mayores de </w:t>
      </w:r>
      <w:r w:rsidR="005B3B10">
        <w:rPr>
          <w:sz w:val="20"/>
          <w:szCs w:val="20"/>
        </w:rPr>
        <w:t>12</w:t>
      </w:r>
      <w:r>
        <w:rPr>
          <w:sz w:val="20"/>
          <w:szCs w:val="20"/>
        </w:rPr>
        <w:t xml:space="preserve"> años pagan como adulto. </w:t>
      </w:r>
    </w:p>
    <w:p w:rsidR="005B3B10" w:rsidRDefault="005B3B10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niños de 0 a 1 año 11 meses, pagan el 10% del total del viaje. 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Pueden entrar solo tres personas solamente en la habitación, (3adt o 2adt +1mnr)</w:t>
      </w:r>
      <w:r w:rsidR="005B3B10">
        <w:rPr>
          <w:sz w:val="20"/>
          <w:szCs w:val="20"/>
        </w:rPr>
        <w:t>.</w:t>
      </w:r>
    </w:p>
    <w:p w:rsidR="00EA53CD" w:rsidRDefault="00EA53CD" w:rsidP="00EA53C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9644C9">
        <w:rPr>
          <w:sz w:val="20"/>
          <w:szCs w:val="20"/>
        </w:rPr>
        <w:t>Habitaciones triples solo bajo petición y sujetas a disponibilidad hasta confirmación. Consideramos habitación triple, una habitación doble con una cama matrimonial y una cama adicional/sofá que en ocasiones no tiene el mismo tamaño ni ofrece la misma comodidad.</w:t>
      </w:r>
    </w:p>
    <w:p w:rsidR="00EA53CD" w:rsidRPr="00EA53CD" w:rsidRDefault="00EA53CD" w:rsidP="00EA53C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B768F4">
        <w:rPr>
          <w:sz w:val="20"/>
          <w:szCs w:val="20"/>
        </w:rPr>
        <w:t>Hoteles son previstos o similares, sujetos a cambios en cualquier momento aun estando en el destino, sin reembolso o compensación.</w:t>
      </w:r>
    </w:p>
    <w:p w:rsidR="00674EBF" w:rsidRDefault="00674EBF" w:rsidP="00674EBF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bookmarkStart w:id="0" w:name="_Hlk147481544"/>
      <w:r>
        <w:rPr>
          <w:sz w:val="20"/>
          <w:szCs w:val="20"/>
        </w:rPr>
        <w:t>Precios sujetos a cambios sin previo aviso, no reembolsable.</w:t>
      </w:r>
      <w:bookmarkEnd w:id="0"/>
    </w:p>
    <w:p w:rsidR="00674EBF" w:rsidRDefault="00674EBF" w:rsidP="00674EBF">
      <w:pPr>
        <w:pStyle w:val="Prrafodelista"/>
        <w:tabs>
          <w:tab w:val="left" w:pos="851"/>
        </w:tabs>
        <w:spacing w:after="0"/>
        <w:jc w:val="both"/>
        <w:rPr>
          <w:sz w:val="20"/>
          <w:szCs w:val="20"/>
        </w:rPr>
      </w:pPr>
    </w:p>
    <w:sectPr w:rsidR="00674EBF" w:rsidSect="007902AE">
      <w:headerReference w:type="default" r:id="rId8"/>
      <w:pgSz w:w="12240" w:h="15840"/>
      <w:pgMar w:top="567" w:right="387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F0" w:rsidRDefault="003017F0" w:rsidP="00A771DB">
      <w:r>
        <w:separator/>
      </w:r>
    </w:p>
  </w:endnote>
  <w:endnote w:type="continuationSeparator" w:id="0">
    <w:p w:rsidR="003017F0" w:rsidRDefault="003017F0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F0" w:rsidRDefault="003017F0" w:rsidP="00A771DB">
      <w:r>
        <w:separator/>
      </w:r>
    </w:p>
  </w:footnote>
  <w:footnote w:type="continuationSeparator" w:id="0">
    <w:p w:rsidR="003017F0" w:rsidRDefault="003017F0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EA44CC0" wp14:editId="40212CC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37" name="Imagen 37" descr="Interfaz de usuario gráfica, Aplicación,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,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1029B"/>
    <w:rsid w:val="000414B0"/>
    <w:rsid w:val="000730ED"/>
    <w:rsid w:val="000734AA"/>
    <w:rsid w:val="000A09B5"/>
    <w:rsid w:val="000C51EB"/>
    <w:rsid w:val="000D35B4"/>
    <w:rsid w:val="000E4B8B"/>
    <w:rsid w:val="000E6619"/>
    <w:rsid w:val="00160F0E"/>
    <w:rsid w:val="00161AAF"/>
    <w:rsid w:val="00166E09"/>
    <w:rsid w:val="00190FE2"/>
    <w:rsid w:val="001A1C04"/>
    <w:rsid w:val="001C30D1"/>
    <w:rsid w:val="001C73C0"/>
    <w:rsid w:val="001D1C56"/>
    <w:rsid w:val="001F325C"/>
    <w:rsid w:val="0020008C"/>
    <w:rsid w:val="00203FAB"/>
    <w:rsid w:val="00271C66"/>
    <w:rsid w:val="00272430"/>
    <w:rsid w:val="00275A98"/>
    <w:rsid w:val="00283D79"/>
    <w:rsid w:val="00292E65"/>
    <w:rsid w:val="002B2AB6"/>
    <w:rsid w:val="002C0A27"/>
    <w:rsid w:val="002D46E9"/>
    <w:rsid w:val="002F51D5"/>
    <w:rsid w:val="00301666"/>
    <w:rsid w:val="003017F0"/>
    <w:rsid w:val="00323E0D"/>
    <w:rsid w:val="003334DA"/>
    <w:rsid w:val="00341BD0"/>
    <w:rsid w:val="0035095A"/>
    <w:rsid w:val="00351644"/>
    <w:rsid w:val="00355F5E"/>
    <w:rsid w:val="0036482B"/>
    <w:rsid w:val="00384662"/>
    <w:rsid w:val="00387D7F"/>
    <w:rsid w:val="00394C44"/>
    <w:rsid w:val="003B7DFF"/>
    <w:rsid w:val="003F2032"/>
    <w:rsid w:val="004207E7"/>
    <w:rsid w:val="00422CF8"/>
    <w:rsid w:val="004263BF"/>
    <w:rsid w:val="00440AB2"/>
    <w:rsid w:val="0044724F"/>
    <w:rsid w:val="00450C4B"/>
    <w:rsid w:val="00453719"/>
    <w:rsid w:val="00465E57"/>
    <w:rsid w:val="004723DE"/>
    <w:rsid w:val="004839F1"/>
    <w:rsid w:val="00490614"/>
    <w:rsid w:val="004D7C3B"/>
    <w:rsid w:val="00507A71"/>
    <w:rsid w:val="00510303"/>
    <w:rsid w:val="00521F04"/>
    <w:rsid w:val="00527302"/>
    <w:rsid w:val="00546874"/>
    <w:rsid w:val="00570255"/>
    <w:rsid w:val="00594706"/>
    <w:rsid w:val="0059731B"/>
    <w:rsid w:val="005975AC"/>
    <w:rsid w:val="00597FE5"/>
    <w:rsid w:val="005A5A40"/>
    <w:rsid w:val="005B3922"/>
    <w:rsid w:val="005B3B10"/>
    <w:rsid w:val="005B6F06"/>
    <w:rsid w:val="005D4B27"/>
    <w:rsid w:val="005F7E9D"/>
    <w:rsid w:val="00604522"/>
    <w:rsid w:val="00611296"/>
    <w:rsid w:val="00616F26"/>
    <w:rsid w:val="00674EBF"/>
    <w:rsid w:val="006B6C37"/>
    <w:rsid w:val="006C3803"/>
    <w:rsid w:val="006D1E7B"/>
    <w:rsid w:val="006D4A8B"/>
    <w:rsid w:val="00710692"/>
    <w:rsid w:val="00711BC3"/>
    <w:rsid w:val="00774096"/>
    <w:rsid w:val="0077579E"/>
    <w:rsid w:val="00785F89"/>
    <w:rsid w:val="007902AE"/>
    <w:rsid w:val="007B23EC"/>
    <w:rsid w:val="007B4CB8"/>
    <w:rsid w:val="007C06FA"/>
    <w:rsid w:val="007C32BF"/>
    <w:rsid w:val="007D3D7B"/>
    <w:rsid w:val="007F13BF"/>
    <w:rsid w:val="00801B0E"/>
    <w:rsid w:val="008077B5"/>
    <w:rsid w:val="008166C0"/>
    <w:rsid w:val="00835D8C"/>
    <w:rsid w:val="0083674E"/>
    <w:rsid w:val="008426E6"/>
    <w:rsid w:val="008651BD"/>
    <w:rsid w:val="008708E3"/>
    <w:rsid w:val="00884C94"/>
    <w:rsid w:val="008851D3"/>
    <w:rsid w:val="008923DE"/>
    <w:rsid w:val="008951B6"/>
    <w:rsid w:val="008A250B"/>
    <w:rsid w:val="009105EC"/>
    <w:rsid w:val="0092295C"/>
    <w:rsid w:val="0092577E"/>
    <w:rsid w:val="009334C6"/>
    <w:rsid w:val="0097300D"/>
    <w:rsid w:val="00991BBF"/>
    <w:rsid w:val="00993F8F"/>
    <w:rsid w:val="009E0257"/>
    <w:rsid w:val="009F35B4"/>
    <w:rsid w:val="00A00BDA"/>
    <w:rsid w:val="00A4304D"/>
    <w:rsid w:val="00A463F2"/>
    <w:rsid w:val="00A46B8C"/>
    <w:rsid w:val="00A75BE8"/>
    <w:rsid w:val="00A771DB"/>
    <w:rsid w:val="00A80ED4"/>
    <w:rsid w:val="00A85F35"/>
    <w:rsid w:val="00AA041A"/>
    <w:rsid w:val="00AE2E6B"/>
    <w:rsid w:val="00AF4FE6"/>
    <w:rsid w:val="00B00F5F"/>
    <w:rsid w:val="00B03C70"/>
    <w:rsid w:val="00B2472D"/>
    <w:rsid w:val="00B26A3F"/>
    <w:rsid w:val="00B26DBA"/>
    <w:rsid w:val="00B56584"/>
    <w:rsid w:val="00B56A6E"/>
    <w:rsid w:val="00B6269B"/>
    <w:rsid w:val="00B671F8"/>
    <w:rsid w:val="00B70E1C"/>
    <w:rsid w:val="00B76BAD"/>
    <w:rsid w:val="00B93BED"/>
    <w:rsid w:val="00BE1C11"/>
    <w:rsid w:val="00C121EA"/>
    <w:rsid w:val="00C17F50"/>
    <w:rsid w:val="00C42D74"/>
    <w:rsid w:val="00C5678D"/>
    <w:rsid w:val="00C870E9"/>
    <w:rsid w:val="00D00A3D"/>
    <w:rsid w:val="00D206E9"/>
    <w:rsid w:val="00D20843"/>
    <w:rsid w:val="00D2175D"/>
    <w:rsid w:val="00D410D7"/>
    <w:rsid w:val="00D87960"/>
    <w:rsid w:val="00DA6106"/>
    <w:rsid w:val="00DB2758"/>
    <w:rsid w:val="00DE4720"/>
    <w:rsid w:val="00DE4C39"/>
    <w:rsid w:val="00DE5458"/>
    <w:rsid w:val="00DF07ED"/>
    <w:rsid w:val="00E07F2B"/>
    <w:rsid w:val="00E10655"/>
    <w:rsid w:val="00E229AA"/>
    <w:rsid w:val="00E32650"/>
    <w:rsid w:val="00E503FB"/>
    <w:rsid w:val="00E635F3"/>
    <w:rsid w:val="00E71360"/>
    <w:rsid w:val="00E74779"/>
    <w:rsid w:val="00E97EB8"/>
    <w:rsid w:val="00EA53CD"/>
    <w:rsid w:val="00EC3E7B"/>
    <w:rsid w:val="00EC78EF"/>
    <w:rsid w:val="00EE5A2C"/>
    <w:rsid w:val="00EF252F"/>
    <w:rsid w:val="00F00CF5"/>
    <w:rsid w:val="00F40104"/>
    <w:rsid w:val="00F426A6"/>
    <w:rsid w:val="00F67FAE"/>
    <w:rsid w:val="00F7691E"/>
    <w:rsid w:val="00F82368"/>
    <w:rsid w:val="00F9318E"/>
    <w:rsid w:val="00F95E3B"/>
    <w:rsid w:val="00FB0DDF"/>
    <w:rsid w:val="00FD7A98"/>
    <w:rsid w:val="00FF2426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44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65E5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46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25E4-F6FF-4D8A-854F-34132632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2024-01-03T21:45:00Z</dcterms:created>
  <dcterms:modified xsi:type="dcterms:W3CDTF">2024-01-03T21:45:00Z</dcterms:modified>
</cp:coreProperties>
</file>